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8360" w14:textId="2F691780" w:rsidR="00B601BA" w:rsidRPr="00D36F2A" w:rsidRDefault="00CE0366" w:rsidP="00D36F2A">
      <w:pPr>
        <w:rPr>
          <w:rFonts w:ascii="Arial" w:hAnsi="Arial" w:cs="Arial"/>
          <w:b/>
          <w:bCs/>
          <w:i/>
          <w:iCs/>
          <w:sz w:val="44"/>
          <w:szCs w:val="44"/>
        </w:rPr>
      </w:pPr>
      <w:r w:rsidRPr="00CE0366">
        <w:rPr>
          <w:rFonts w:ascii="Arial" w:hAnsi="Arial" w:cs="Arial"/>
          <w:b/>
          <w:bCs/>
          <w:sz w:val="44"/>
          <w:szCs w:val="44"/>
        </w:rPr>
        <w:t>WRES</w:t>
      </w:r>
      <w:r w:rsidR="00A81284">
        <w:rPr>
          <w:rFonts w:ascii="Arial" w:hAnsi="Arial" w:cs="Arial"/>
          <w:b/>
          <w:bCs/>
          <w:sz w:val="44"/>
          <w:szCs w:val="44"/>
        </w:rPr>
        <w:t>–</w:t>
      </w:r>
      <w:r>
        <w:rPr>
          <w:rFonts w:ascii="Arial" w:hAnsi="Arial" w:cs="Arial"/>
          <w:b/>
          <w:bCs/>
          <w:sz w:val="44"/>
          <w:szCs w:val="44"/>
        </w:rPr>
        <w:t xml:space="preserve"> 2022</w:t>
      </w:r>
      <w:r w:rsidR="00A81284">
        <w:rPr>
          <w:rFonts w:ascii="Arial" w:hAnsi="Arial" w:cs="Arial"/>
          <w:b/>
          <w:bCs/>
          <w:sz w:val="44"/>
          <w:szCs w:val="44"/>
        </w:rPr>
        <w:t>/ 2</w:t>
      </w:r>
      <w:r w:rsidR="000B3339">
        <w:rPr>
          <w:rFonts w:ascii="Arial" w:hAnsi="Arial" w:cs="Arial"/>
          <w:b/>
          <w:bCs/>
          <w:sz w:val="44"/>
          <w:szCs w:val="44"/>
        </w:rPr>
        <w:t>3</w:t>
      </w:r>
    </w:p>
    <w:tbl>
      <w:tblPr>
        <w:tblW w:w="13938" w:type="dxa"/>
        <w:tblCellMar>
          <w:left w:w="0" w:type="dxa"/>
          <w:right w:w="0" w:type="dxa"/>
        </w:tblCellMar>
        <w:tblLook w:val="04A0" w:firstRow="1" w:lastRow="0" w:firstColumn="1" w:lastColumn="0" w:noHBand="0" w:noVBand="1"/>
      </w:tblPr>
      <w:tblGrid>
        <w:gridCol w:w="520"/>
        <w:gridCol w:w="2022"/>
        <w:gridCol w:w="2835"/>
        <w:gridCol w:w="1592"/>
        <w:gridCol w:w="5354"/>
        <w:gridCol w:w="1615"/>
      </w:tblGrid>
      <w:tr w:rsidR="00FD75DC" w:rsidRPr="00CE0366" w14:paraId="0657BF84" w14:textId="65506D7C" w:rsidTr="006330F0">
        <w:trPr>
          <w:trHeight w:val="416"/>
        </w:trPr>
        <w:tc>
          <w:tcPr>
            <w:tcW w:w="12323" w:type="dxa"/>
            <w:gridSpan w:val="5"/>
            <w:tcBorders>
              <w:top w:val="single" w:sz="8" w:space="0" w:color="000000"/>
              <w:left w:val="single" w:sz="8" w:space="0" w:color="000000"/>
              <w:bottom w:val="single" w:sz="8" w:space="0" w:color="000000"/>
              <w:right w:val="single" w:sz="8" w:space="0" w:color="000000"/>
            </w:tcBorders>
            <w:shd w:val="clear" w:color="auto" w:fill="8496B0"/>
            <w:tcMar>
              <w:top w:w="15" w:type="dxa"/>
              <w:left w:w="100" w:type="dxa"/>
              <w:bottom w:w="0" w:type="dxa"/>
              <w:right w:w="100" w:type="dxa"/>
            </w:tcMar>
            <w:hideMark/>
          </w:tcPr>
          <w:p w14:paraId="338166F6" w14:textId="77777777" w:rsidR="00FD75DC" w:rsidRPr="00CE0366" w:rsidRDefault="00FD75DC" w:rsidP="00CE0366">
            <w:pPr>
              <w:spacing w:line="256" w:lineRule="auto"/>
              <w:rPr>
                <w:rFonts w:ascii="Arial" w:eastAsia="Times New Roman" w:hAnsi="Arial" w:cs="Arial"/>
                <w:sz w:val="20"/>
                <w:szCs w:val="20"/>
                <w:lang w:eastAsia="en-GB"/>
              </w:rPr>
            </w:pPr>
            <w:r w:rsidRPr="00CE0366">
              <w:rPr>
                <w:rFonts w:ascii="Arial" w:eastAsia="Calibri" w:hAnsi="Arial" w:cs="Arial"/>
                <w:b/>
                <w:bCs/>
                <w:color w:val="000000" w:themeColor="text1"/>
                <w:kern w:val="24"/>
                <w:sz w:val="20"/>
                <w:szCs w:val="20"/>
                <w:lang w:eastAsia="en-GB"/>
              </w:rPr>
              <w:t>WRES Indicator</w:t>
            </w:r>
          </w:p>
        </w:tc>
        <w:tc>
          <w:tcPr>
            <w:tcW w:w="1615" w:type="dxa"/>
            <w:tcBorders>
              <w:top w:val="single" w:sz="8" w:space="0" w:color="000000"/>
              <w:left w:val="single" w:sz="8" w:space="0" w:color="000000"/>
              <w:bottom w:val="single" w:sz="8" w:space="0" w:color="000000"/>
              <w:right w:val="single" w:sz="8" w:space="0" w:color="000000"/>
            </w:tcBorders>
            <w:shd w:val="clear" w:color="auto" w:fill="8496B0"/>
          </w:tcPr>
          <w:p w14:paraId="598520FC" w14:textId="77777777" w:rsidR="00FD75DC" w:rsidRPr="00CE0366" w:rsidRDefault="00FD75DC" w:rsidP="00CE0366">
            <w:pPr>
              <w:spacing w:line="256" w:lineRule="auto"/>
              <w:rPr>
                <w:rFonts w:ascii="Arial" w:eastAsia="Calibri" w:hAnsi="Arial" w:cs="Arial"/>
                <w:b/>
                <w:bCs/>
                <w:color w:val="000000" w:themeColor="text1"/>
                <w:kern w:val="24"/>
                <w:sz w:val="20"/>
                <w:szCs w:val="20"/>
                <w:lang w:eastAsia="en-GB"/>
              </w:rPr>
            </w:pPr>
          </w:p>
        </w:tc>
      </w:tr>
      <w:tr w:rsidR="00FD75DC" w:rsidRPr="00CE0366" w14:paraId="0BFA14CD" w14:textId="78E5AEF5" w:rsidTr="006330F0">
        <w:trPr>
          <w:trHeight w:val="416"/>
        </w:trPr>
        <w:tc>
          <w:tcPr>
            <w:tcW w:w="12323" w:type="dxa"/>
            <w:gridSpan w:val="5"/>
            <w:tcBorders>
              <w:top w:val="single" w:sz="8" w:space="0" w:color="000000"/>
              <w:left w:val="single" w:sz="8" w:space="0" w:color="000000"/>
              <w:bottom w:val="single" w:sz="8" w:space="0" w:color="000000"/>
              <w:right w:val="single" w:sz="8" w:space="0" w:color="000000"/>
            </w:tcBorders>
            <w:shd w:val="clear" w:color="auto" w:fill="00B0F0"/>
            <w:tcMar>
              <w:top w:w="15" w:type="dxa"/>
              <w:left w:w="100" w:type="dxa"/>
              <w:bottom w:w="0" w:type="dxa"/>
              <w:right w:w="100" w:type="dxa"/>
            </w:tcMar>
            <w:hideMark/>
          </w:tcPr>
          <w:p w14:paraId="6F5ADDC0" w14:textId="77777777" w:rsidR="00FD75DC" w:rsidRPr="00CE0366" w:rsidRDefault="00FD75DC" w:rsidP="00CE0366">
            <w:pPr>
              <w:spacing w:line="256" w:lineRule="auto"/>
              <w:rPr>
                <w:rFonts w:ascii="Arial" w:eastAsia="Times New Roman" w:hAnsi="Arial" w:cs="Arial"/>
                <w:b/>
                <w:bCs/>
                <w:sz w:val="20"/>
                <w:szCs w:val="20"/>
                <w:lang w:eastAsia="en-GB"/>
              </w:rPr>
            </w:pPr>
            <w:r w:rsidRPr="00CE0366">
              <w:rPr>
                <w:rFonts w:ascii="Arial" w:eastAsia="Calibri" w:hAnsi="Arial" w:cs="Arial"/>
                <w:b/>
                <w:bCs/>
                <w:color w:val="000000"/>
                <w:kern w:val="24"/>
                <w:sz w:val="20"/>
                <w:szCs w:val="20"/>
                <w:lang w:eastAsia="en-GB"/>
              </w:rPr>
              <w:t>Data from ESR</w:t>
            </w:r>
          </w:p>
        </w:tc>
        <w:tc>
          <w:tcPr>
            <w:tcW w:w="1615" w:type="dxa"/>
            <w:tcBorders>
              <w:top w:val="single" w:sz="8" w:space="0" w:color="000000"/>
              <w:left w:val="single" w:sz="8" w:space="0" w:color="000000"/>
              <w:bottom w:val="single" w:sz="8" w:space="0" w:color="000000"/>
              <w:right w:val="single" w:sz="8" w:space="0" w:color="000000"/>
            </w:tcBorders>
            <w:shd w:val="clear" w:color="auto" w:fill="00B0F0"/>
          </w:tcPr>
          <w:p w14:paraId="1E75E8B7" w14:textId="77777777" w:rsidR="00FD75DC" w:rsidRPr="00CE0366" w:rsidRDefault="00FD75DC" w:rsidP="00CE0366">
            <w:pPr>
              <w:spacing w:line="256" w:lineRule="auto"/>
              <w:rPr>
                <w:rFonts w:ascii="Arial" w:eastAsia="Calibri" w:hAnsi="Arial" w:cs="Arial"/>
                <w:b/>
                <w:bCs/>
                <w:color w:val="000000"/>
                <w:kern w:val="24"/>
                <w:sz w:val="20"/>
                <w:szCs w:val="20"/>
                <w:lang w:eastAsia="en-GB"/>
              </w:rPr>
            </w:pPr>
          </w:p>
        </w:tc>
      </w:tr>
      <w:tr w:rsidR="00FD75DC" w:rsidRPr="00CE0366" w14:paraId="444C9EE3" w14:textId="36DEE35C" w:rsidTr="006330F0">
        <w:trPr>
          <w:trHeight w:val="773"/>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13FCAE4E" w14:textId="77777777" w:rsidR="00FD75DC" w:rsidRPr="00E41014" w:rsidRDefault="00FD75DC" w:rsidP="00CE0366">
            <w:pPr>
              <w:spacing w:line="256" w:lineRule="auto"/>
              <w:rPr>
                <w:rFonts w:ascii="Arial" w:eastAsia="Times New Roman" w:hAnsi="Arial" w:cs="Arial"/>
                <w:b/>
                <w:bCs/>
                <w:sz w:val="20"/>
                <w:szCs w:val="20"/>
                <w:lang w:eastAsia="en-GB"/>
              </w:rPr>
            </w:pPr>
            <w:r w:rsidRPr="00E41014">
              <w:rPr>
                <w:rFonts w:ascii="Arial" w:eastAsia="Calibri" w:hAnsi="Arial" w:cs="Arial"/>
                <w:b/>
                <w:bCs/>
                <w:color w:val="000000" w:themeColor="text1"/>
                <w:kern w:val="24"/>
                <w:sz w:val="20"/>
                <w:szCs w:val="20"/>
                <w:lang w:eastAsia="en-GB"/>
              </w:rPr>
              <w:t>1</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5FB791CB" w14:textId="7777777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Percentage of BAME staff</w:t>
            </w:r>
          </w:p>
          <w:p w14:paraId="20610013" w14:textId="77777777" w:rsidR="00FD75DC" w:rsidRPr="00E41014" w:rsidRDefault="00FD75DC" w:rsidP="00CE0366">
            <w:pPr>
              <w:spacing w:line="256" w:lineRule="auto"/>
              <w:rPr>
                <w:rFonts w:ascii="Arial" w:eastAsia="Times New Roman" w:hAnsi="Arial" w:cs="Arial"/>
                <w:b/>
                <w:bCs/>
                <w:sz w:val="20"/>
                <w:szCs w:val="20"/>
                <w:lang w:eastAsia="en-GB"/>
              </w:rPr>
            </w:pPr>
            <w:r w:rsidRPr="00E41014">
              <w:rPr>
                <w:rFonts w:ascii="Arial" w:eastAsia="Times New Roman" w:hAnsi="Arial" w:cs="Arial"/>
                <w:b/>
                <w:bCs/>
                <w:sz w:val="20"/>
                <w:szCs w:val="20"/>
                <w:lang w:eastAsia="en-GB"/>
              </w:rPr>
              <w:t>Target:</w:t>
            </w:r>
            <w:r w:rsidRPr="00E41014">
              <w:rPr>
                <w:b/>
                <w:bCs/>
                <w:sz w:val="20"/>
                <w:szCs w:val="20"/>
              </w:rPr>
              <w:t xml:space="preserve"> </w:t>
            </w:r>
            <w:r w:rsidRPr="00E41014">
              <w:rPr>
                <w:rFonts w:ascii="Arial" w:eastAsia="Times New Roman" w:hAnsi="Arial" w:cs="Arial"/>
                <w:b/>
                <w:bCs/>
                <w:sz w:val="20"/>
                <w:szCs w:val="20"/>
                <w:lang w:eastAsia="en-GB"/>
              </w:rPr>
              <w:t>Increase by 2% (total 11.3%) by July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30BE740" w14:textId="0D0140A7" w:rsidR="006456C6" w:rsidRPr="00E41014" w:rsidRDefault="00D66B14" w:rsidP="004217BB">
            <w:pPr>
              <w:spacing w:after="0" w:line="256" w:lineRule="auto"/>
              <w:contextualSpacing/>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Revised target for Sept 23</w:t>
            </w:r>
            <w:r w:rsidR="006330F0">
              <w:rPr>
                <w:rFonts w:ascii="Arial" w:eastAsia="Calibri" w:hAnsi="Arial" w:cs="Arial"/>
                <w:b/>
                <w:bCs/>
                <w:color w:val="000000" w:themeColor="text1"/>
                <w:kern w:val="24"/>
                <w:sz w:val="20"/>
                <w:szCs w:val="20"/>
                <w:lang w:eastAsia="en-GB"/>
              </w:rPr>
              <w:t>/24</w:t>
            </w:r>
            <w:r w:rsidRPr="00E41014">
              <w:rPr>
                <w:rFonts w:ascii="Arial" w:eastAsia="Calibri" w:hAnsi="Arial" w:cs="Arial"/>
                <w:b/>
                <w:bCs/>
                <w:color w:val="000000" w:themeColor="text1"/>
                <w:kern w:val="24"/>
                <w:sz w:val="20"/>
                <w:szCs w:val="20"/>
                <w:lang w:eastAsia="en-GB"/>
              </w:rPr>
              <w:t xml:space="preserve"> </w:t>
            </w:r>
          </w:p>
          <w:p w14:paraId="1FC5201C" w14:textId="79C29511" w:rsidR="00FD75DC" w:rsidRPr="00E41014" w:rsidRDefault="00A125C6" w:rsidP="004217BB">
            <w:pPr>
              <w:spacing w:after="0" w:line="256" w:lineRule="auto"/>
              <w:contextualSpacing/>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In line</w:t>
            </w:r>
            <w:r w:rsidR="000811B5" w:rsidRPr="00E41014">
              <w:rPr>
                <w:rFonts w:ascii="Arial" w:eastAsia="Calibri" w:hAnsi="Arial" w:cs="Arial"/>
                <w:b/>
                <w:bCs/>
                <w:color w:val="000000" w:themeColor="text1"/>
                <w:kern w:val="24"/>
                <w:sz w:val="20"/>
                <w:szCs w:val="20"/>
                <w:lang w:eastAsia="en-GB"/>
              </w:rPr>
              <w:t xml:space="preserve"> with</w:t>
            </w:r>
            <w:r w:rsidRPr="00E41014">
              <w:rPr>
                <w:rFonts w:ascii="Arial" w:eastAsia="Calibri" w:hAnsi="Arial" w:cs="Arial"/>
                <w:b/>
                <w:bCs/>
                <w:color w:val="000000" w:themeColor="text1"/>
                <w:kern w:val="24"/>
                <w:sz w:val="20"/>
                <w:szCs w:val="20"/>
                <w:lang w:eastAsia="en-GB"/>
              </w:rPr>
              <w:t xml:space="preserve"> local</w:t>
            </w:r>
            <w:r w:rsidR="000811B5" w:rsidRPr="00E41014">
              <w:rPr>
                <w:rFonts w:ascii="Arial" w:eastAsia="Calibri" w:hAnsi="Arial" w:cs="Arial"/>
                <w:b/>
                <w:bCs/>
                <w:color w:val="000000" w:themeColor="text1"/>
                <w:kern w:val="24"/>
                <w:sz w:val="20"/>
                <w:szCs w:val="20"/>
                <w:lang w:eastAsia="en-GB"/>
              </w:rPr>
              <w:t xml:space="preserve"> census data</w:t>
            </w:r>
          </w:p>
        </w:tc>
      </w:tr>
      <w:tr w:rsidR="00FD75DC" w:rsidRPr="005916CB" w14:paraId="6A64404D" w14:textId="3C0486BA" w:rsidTr="00624F9E">
        <w:trPr>
          <w:trHeight w:val="416"/>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4A7836F7" w14:textId="0F1402EB"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2019</w:t>
            </w:r>
            <w:r w:rsidR="007D0C2B" w:rsidRPr="00E41014">
              <w:rPr>
                <w:rFonts w:ascii="Arial" w:eastAsia="Calibri" w:hAnsi="Arial" w:cs="Arial"/>
                <w:b/>
                <w:bCs/>
                <w:color w:val="000000" w:themeColor="text1"/>
                <w:kern w:val="24"/>
                <w:sz w:val="20"/>
                <w:szCs w:val="20"/>
                <w:lang w:eastAsia="en-GB"/>
              </w:rPr>
              <w:t>/20</w:t>
            </w:r>
          </w:p>
          <w:p w14:paraId="00E18D08" w14:textId="7777777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9.2%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67EC2393" w14:textId="1A50F2C8"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2020</w:t>
            </w:r>
            <w:r w:rsidR="007D0C2B" w:rsidRPr="00E41014">
              <w:rPr>
                <w:rFonts w:ascii="Arial" w:eastAsia="Calibri" w:hAnsi="Arial" w:cs="Arial"/>
                <w:b/>
                <w:bCs/>
                <w:color w:val="000000" w:themeColor="text1"/>
                <w:kern w:val="24"/>
                <w:sz w:val="20"/>
                <w:szCs w:val="20"/>
                <w:lang w:eastAsia="en-GB"/>
              </w:rPr>
              <w:t>/21</w:t>
            </w:r>
          </w:p>
          <w:p w14:paraId="691DBD08" w14:textId="7777777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9.3%</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34E9C029" w14:textId="05BA0E9B"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2021</w:t>
            </w:r>
            <w:r w:rsidR="007D0C2B" w:rsidRPr="00E41014">
              <w:rPr>
                <w:rFonts w:ascii="Arial" w:eastAsia="Calibri" w:hAnsi="Arial" w:cs="Arial"/>
                <w:b/>
                <w:bCs/>
                <w:color w:val="000000" w:themeColor="text1"/>
                <w:kern w:val="24"/>
                <w:sz w:val="20"/>
                <w:szCs w:val="20"/>
                <w:lang w:eastAsia="en-GB"/>
              </w:rPr>
              <w:t>/22</w:t>
            </w:r>
          </w:p>
          <w:p w14:paraId="0866CA1C" w14:textId="5664A8A0" w:rsidR="00FD75DC" w:rsidRPr="00E41014" w:rsidRDefault="00FD75DC" w:rsidP="001B3CF8">
            <w:pPr>
              <w:spacing w:line="256" w:lineRule="auto"/>
              <w:rPr>
                <w:rFonts w:ascii="Arial" w:eastAsia="Calibri" w:hAnsi="Arial" w:cs="Arial"/>
                <w:b/>
                <w:bCs/>
                <w:color w:val="ED7D31" w:themeColor="accent2"/>
                <w:kern w:val="24"/>
                <w:sz w:val="20"/>
                <w:szCs w:val="20"/>
                <w:lang w:eastAsia="en-GB"/>
              </w:rPr>
            </w:pPr>
            <w:r w:rsidRPr="00E41014">
              <w:rPr>
                <w:rFonts w:ascii="Arial" w:eastAsia="Calibri" w:hAnsi="Arial" w:cs="Arial"/>
                <w:b/>
                <w:bCs/>
                <w:color w:val="ED7D31" w:themeColor="accent2"/>
                <w:kern w:val="24"/>
                <w:sz w:val="20"/>
                <w:szCs w:val="20"/>
                <w:lang w:eastAsia="en-GB"/>
              </w:rPr>
              <w:t>10.7%</w:t>
            </w:r>
          </w:p>
        </w:tc>
        <w:tc>
          <w:tcPr>
            <w:tcW w:w="1615" w:type="dxa"/>
            <w:tcBorders>
              <w:top w:val="single" w:sz="8" w:space="0" w:color="000000"/>
              <w:left w:val="single" w:sz="8" w:space="0" w:color="000000"/>
              <w:bottom w:val="single" w:sz="8" w:space="0" w:color="000000"/>
              <w:right w:val="single" w:sz="8" w:space="0" w:color="000000"/>
            </w:tcBorders>
          </w:tcPr>
          <w:p w14:paraId="2F1EDE95" w14:textId="77777777" w:rsidR="00FF3FB0" w:rsidRPr="00E41014" w:rsidRDefault="001B5281"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2022/23</w:t>
            </w:r>
          </w:p>
          <w:p w14:paraId="14B1532F" w14:textId="7B5F069C" w:rsidR="00197317" w:rsidRPr="00E41014" w:rsidRDefault="00197317"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70AD47" w:themeColor="accent6"/>
                <w:kern w:val="24"/>
                <w:sz w:val="20"/>
                <w:szCs w:val="20"/>
                <w:lang w:eastAsia="en-GB"/>
              </w:rPr>
              <w:t>12.8%</w:t>
            </w:r>
          </w:p>
        </w:tc>
      </w:tr>
      <w:tr w:rsidR="00F871AF" w:rsidRPr="005916CB" w14:paraId="249212CE" w14:textId="77777777" w:rsidTr="006330F0">
        <w:trPr>
          <w:trHeight w:val="416"/>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275330A1" w14:textId="77777777" w:rsidR="00AB7AEC" w:rsidRPr="00E41014" w:rsidRDefault="00F871AF" w:rsidP="00CE0366">
            <w:pPr>
              <w:spacing w:line="256" w:lineRule="auto"/>
              <w:rPr>
                <w:rFonts w:ascii="Arial" w:eastAsia="Calibri" w:hAnsi="Arial" w:cs="Arial"/>
                <w:b/>
                <w:bCs/>
                <w:kern w:val="24"/>
                <w:sz w:val="20"/>
                <w:szCs w:val="20"/>
                <w:lang w:eastAsia="en-GB"/>
              </w:rPr>
            </w:pPr>
            <w:r w:rsidRPr="00E41014">
              <w:rPr>
                <w:rFonts w:ascii="Arial" w:eastAsia="Calibri" w:hAnsi="Arial" w:cs="Arial"/>
                <w:b/>
                <w:bCs/>
                <w:kern w:val="24"/>
                <w:sz w:val="20"/>
                <w:szCs w:val="20"/>
                <w:lang w:eastAsia="en-GB"/>
              </w:rPr>
              <w:t xml:space="preserve">Narrative as of </w:t>
            </w:r>
            <w:r w:rsidR="004217BB" w:rsidRPr="00E41014">
              <w:rPr>
                <w:rFonts w:ascii="Arial" w:eastAsia="Calibri" w:hAnsi="Arial" w:cs="Arial"/>
                <w:b/>
                <w:bCs/>
                <w:kern w:val="24"/>
                <w:sz w:val="20"/>
                <w:szCs w:val="20"/>
                <w:lang w:eastAsia="en-GB"/>
              </w:rPr>
              <w:t xml:space="preserve">May </w:t>
            </w:r>
            <w:r w:rsidRPr="00E41014">
              <w:rPr>
                <w:rFonts w:ascii="Arial" w:eastAsia="Calibri" w:hAnsi="Arial" w:cs="Arial"/>
                <w:b/>
                <w:bCs/>
                <w:kern w:val="24"/>
                <w:sz w:val="20"/>
                <w:szCs w:val="20"/>
                <w:lang w:eastAsia="en-GB"/>
              </w:rPr>
              <w:t>2023</w:t>
            </w:r>
            <w:r w:rsidR="00433BA0" w:rsidRPr="00E41014">
              <w:rPr>
                <w:rFonts w:ascii="Arial" w:eastAsia="Calibri" w:hAnsi="Arial" w:cs="Arial"/>
                <w:b/>
                <w:bCs/>
                <w:kern w:val="24"/>
                <w:sz w:val="20"/>
                <w:szCs w:val="20"/>
                <w:lang w:eastAsia="en-GB"/>
              </w:rPr>
              <w:t xml:space="preserve">  </w:t>
            </w:r>
          </w:p>
          <w:p w14:paraId="015492D8" w14:textId="263055AA" w:rsidR="00F871AF" w:rsidRPr="00E55176" w:rsidRDefault="00AB7AEC" w:rsidP="00CE0366">
            <w:pPr>
              <w:spacing w:line="256" w:lineRule="auto"/>
              <w:rPr>
                <w:rFonts w:ascii="Arial" w:eastAsia="Calibri" w:hAnsi="Arial" w:cs="Arial"/>
                <w:kern w:val="24"/>
                <w:sz w:val="20"/>
                <w:szCs w:val="20"/>
                <w:lang w:eastAsia="en-GB"/>
              </w:rPr>
            </w:pPr>
            <w:r w:rsidRPr="00E55176">
              <w:rPr>
                <w:rFonts w:ascii="Arial" w:eastAsia="Calibri" w:hAnsi="Arial" w:cs="Arial"/>
                <w:kern w:val="24"/>
                <w:sz w:val="20"/>
                <w:szCs w:val="20"/>
                <w:lang w:eastAsia="en-GB"/>
              </w:rPr>
              <w:t>C</w:t>
            </w:r>
            <w:r w:rsidR="00433BA0" w:rsidRPr="00E55176">
              <w:rPr>
                <w:rFonts w:ascii="Arial" w:eastAsia="Calibri" w:hAnsi="Arial" w:cs="Arial"/>
                <w:kern w:val="24"/>
                <w:sz w:val="20"/>
                <w:szCs w:val="20"/>
                <w:lang w:eastAsia="en-GB"/>
              </w:rPr>
              <w:t xml:space="preserve">ontinued recruitment from overseas has contributed towards the positive increase in this indicator  </w:t>
            </w:r>
          </w:p>
        </w:tc>
      </w:tr>
      <w:tr w:rsidR="00712AF6" w:rsidRPr="005916CB" w14:paraId="687D99DE" w14:textId="77777777" w:rsidTr="00E55176">
        <w:trPr>
          <w:trHeight w:val="416"/>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054E42DF" w14:textId="77777777" w:rsidR="00712AF6" w:rsidRDefault="00712AF6"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59579F30" w14:textId="1454254A" w:rsidR="00712AF6" w:rsidRPr="003051C9" w:rsidRDefault="00316ED5" w:rsidP="003051C9">
            <w:pPr>
              <w:pStyle w:val="ListParagraph"/>
              <w:numPr>
                <w:ilvl w:val="0"/>
                <w:numId w:val="21"/>
              </w:numPr>
              <w:spacing w:line="256" w:lineRule="auto"/>
              <w:rPr>
                <w:rFonts w:ascii="Arial" w:eastAsia="Calibri" w:hAnsi="Arial" w:cs="Arial"/>
                <w:b/>
                <w:bCs/>
                <w:kern w:val="24"/>
                <w:sz w:val="20"/>
                <w:szCs w:val="20"/>
              </w:rPr>
            </w:pPr>
            <w:r w:rsidRPr="003051C9">
              <w:rPr>
                <w:rStyle w:val="normaltextrun"/>
                <w:rFonts w:ascii="Arial" w:hAnsi="Arial" w:cs="Arial"/>
                <w:color w:val="000000"/>
                <w:sz w:val="20"/>
                <w:szCs w:val="20"/>
                <w:shd w:val="clear" w:color="auto" w:fill="FFFFFF"/>
              </w:rPr>
              <w:t xml:space="preserve">Ensure our attraction and recruitment </w:t>
            </w:r>
            <w:r w:rsidR="003051C9" w:rsidRPr="003051C9">
              <w:rPr>
                <w:rStyle w:val="normaltextrun"/>
                <w:rFonts w:ascii="Arial" w:hAnsi="Arial" w:cs="Arial"/>
                <w:color w:val="000000"/>
                <w:sz w:val="20"/>
                <w:szCs w:val="20"/>
                <w:shd w:val="clear" w:color="auto" w:fill="FFFFFF"/>
              </w:rPr>
              <w:t xml:space="preserve">and development </w:t>
            </w:r>
            <w:r w:rsidRPr="003051C9">
              <w:rPr>
                <w:rStyle w:val="normaltextrun"/>
                <w:rFonts w:ascii="Arial" w:hAnsi="Arial" w:cs="Arial"/>
                <w:color w:val="000000"/>
                <w:sz w:val="20"/>
                <w:szCs w:val="20"/>
                <w:shd w:val="clear" w:color="auto" w:fill="FFFFFF"/>
              </w:rPr>
              <w:t>are equitable and inclusive</w:t>
            </w: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DD074C8" w14:textId="4EFB39E1" w:rsidR="00712AF6" w:rsidRDefault="00316ED5"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Output/ Outcomes</w:t>
            </w:r>
          </w:p>
          <w:p w14:paraId="170F45C9" w14:textId="454F2E87" w:rsidR="009A3FCF" w:rsidRPr="009A3FCF" w:rsidRDefault="009A3FCF" w:rsidP="009A3FCF">
            <w:pPr>
              <w:numPr>
                <w:ilvl w:val="0"/>
                <w:numId w:val="20"/>
              </w:numPr>
              <w:contextualSpacing/>
              <w:rPr>
                <w:rFonts w:ascii="Arial" w:hAnsi="Arial" w:cs="Arial"/>
                <w:sz w:val="20"/>
                <w:szCs w:val="20"/>
              </w:rPr>
            </w:pPr>
            <w:r w:rsidRPr="009A3FCF">
              <w:rPr>
                <w:rFonts w:ascii="Arial" w:hAnsi="Arial" w:cs="Arial"/>
                <w:sz w:val="20"/>
                <w:szCs w:val="20"/>
              </w:rPr>
              <w:t xml:space="preserve">Toolkit, guidance and training that draws on Roger Kline, London debias and other evidence-based approaches to inclusive </w:t>
            </w:r>
            <w:r w:rsidRPr="009A3FCF">
              <w:rPr>
                <w:rFonts w:ascii="Arial" w:hAnsi="Arial" w:cs="Arial"/>
                <w:sz w:val="20"/>
                <w:szCs w:val="20"/>
              </w:rPr>
              <w:t>recruitment.</w:t>
            </w:r>
            <w:r w:rsidRPr="009A3FCF">
              <w:rPr>
                <w:rFonts w:ascii="Arial" w:hAnsi="Arial" w:cs="Arial"/>
                <w:sz w:val="20"/>
                <w:szCs w:val="20"/>
              </w:rPr>
              <w:t xml:space="preserve"> </w:t>
            </w:r>
          </w:p>
          <w:p w14:paraId="3E7AF90B" w14:textId="1007327F" w:rsidR="003D08A2" w:rsidRPr="003D08A2" w:rsidRDefault="00854DA8" w:rsidP="003D08A2">
            <w:pPr>
              <w:numPr>
                <w:ilvl w:val="0"/>
                <w:numId w:val="20"/>
              </w:numPr>
              <w:contextualSpacing/>
              <w:rPr>
                <w:rFonts w:ascii="Arial" w:hAnsi="Arial" w:cs="Arial"/>
                <w:sz w:val="20"/>
                <w:szCs w:val="20"/>
              </w:rPr>
            </w:pPr>
            <w:r>
              <w:rPr>
                <w:rFonts w:ascii="Arial" w:hAnsi="Arial" w:cs="Arial"/>
                <w:sz w:val="20"/>
                <w:szCs w:val="20"/>
              </w:rPr>
              <w:t xml:space="preserve">Trained recruitment Allies on band 7 and above posts </w:t>
            </w:r>
          </w:p>
          <w:p w14:paraId="3FF4FEC5" w14:textId="7D28A6A3" w:rsidR="009A3FCF" w:rsidRPr="009A3FCF" w:rsidRDefault="009A3FCF" w:rsidP="009A3FCF">
            <w:pPr>
              <w:numPr>
                <w:ilvl w:val="0"/>
                <w:numId w:val="20"/>
              </w:numPr>
              <w:contextualSpacing/>
              <w:rPr>
                <w:rFonts w:ascii="Arial" w:hAnsi="Arial" w:cs="Arial"/>
                <w:sz w:val="20"/>
                <w:szCs w:val="20"/>
              </w:rPr>
            </w:pPr>
            <w:r w:rsidRPr="009A3FCF">
              <w:rPr>
                <w:rFonts w:ascii="Arial" w:hAnsi="Arial" w:cs="Arial"/>
                <w:sz w:val="20"/>
                <w:szCs w:val="20"/>
              </w:rPr>
              <w:t xml:space="preserve">Increased use of community partners </w:t>
            </w:r>
          </w:p>
          <w:p w14:paraId="4638B422" w14:textId="77777777" w:rsidR="009A3FCF" w:rsidRDefault="009A3FCF" w:rsidP="009A3FCF">
            <w:pPr>
              <w:numPr>
                <w:ilvl w:val="0"/>
                <w:numId w:val="20"/>
              </w:numPr>
              <w:contextualSpacing/>
              <w:rPr>
                <w:rFonts w:ascii="Arial" w:hAnsi="Arial" w:cs="Arial"/>
                <w:sz w:val="20"/>
                <w:szCs w:val="20"/>
              </w:rPr>
            </w:pPr>
            <w:r w:rsidRPr="009A3FCF">
              <w:rPr>
                <w:rFonts w:ascii="Arial" w:hAnsi="Arial" w:cs="Arial"/>
                <w:sz w:val="20"/>
                <w:szCs w:val="20"/>
              </w:rPr>
              <w:t xml:space="preserve">Increased applicants from the communities we serve  </w:t>
            </w:r>
          </w:p>
          <w:p w14:paraId="62A3BFAD" w14:textId="0978FE30" w:rsidR="003D08A2" w:rsidRDefault="003D08A2" w:rsidP="009A3FCF">
            <w:pPr>
              <w:numPr>
                <w:ilvl w:val="0"/>
                <w:numId w:val="20"/>
              </w:numPr>
              <w:contextualSpacing/>
              <w:rPr>
                <w:rFonts w:ascii="Arial" w:hAnsi="Arial" w:cs="Arial"/>
                <w:sz w:val="20"/>
                <w:szCs w:val="20"/>
              </w:rPr>
            </w:pPr>
            <w:r>
              <w:rPr>
                <w:rFonts w:ascii="Arial" w:hAnsi="Arial" w:cs="Arial"/>
                <w:sz w:val="20"/>
                <w:szCs w:val="20"/>
              </w:rPr>
              <w:t xml:space="preserve">Retention and cultural programme in place for internationally recruited colleagues </w:t>
            </w:r>
          </w:p>
          <w:p w14:paraId="484CEC26" w14:textId="48F6B759" w:rsidR="00006E71" w:rsidRDefault="00006E71" w:rsidP="009A3FCF">
            <w:pPr>
              <w:numPr>
                <w:ilvl w:val="0"/>
                <w:numId w:val="20"/>
              </w:numPr>
              <w:contextualSpacing/>
              <w:rPr>
                <w:rFonts w:ascii="Arial" w:hAnsi="Arial" w:cs="Arial"/>
                <w:sz w:val="20"/>
                <w:szCs w:val="20"/>
              </w:rPr>
            </w:pPr>
            <w:r>
              <w:rPr>
                <w:rFonts w:ascii="Arial" w:hAnsi="Arial" w:cs="Arial"/>
                <w:sz w:val="20"/>
                <w:szCs w:val="20"/>
              </w:rPr>
              <w:t xml:space="preserve">Signposting to positive action development programmes either run by ICB or national team </w:t>
            </w:r>
          </w:p>
          <w:p w14:paraId="3BCF5927" w14:textId="77777777" w:rsidR="00316ED5" w:rsidRDefault="009A3FCF" w:rsidP="009A3FCF">
            <w:pPr>
              <w:numPr>
                <w:ilvl w:val="0"/>
                <w:numId w:val="20"/>
              </w:numPr>
              <w:contextualSpacing/>
              <w:rPr>
                <w:rFonts w:ascii="Arial" w:hAnsi="Arial" w:cs="Arial"/>
                <w:sz w:val="20"/>
                <w:szCs w:val="20"/>
              </w:rPr>
            </w:pPr>
            <w:r w:rsidRPr="009A3FCF">
              <w:rPr>
                <w:rFonts w:ascii="Arial" w:hAnsi="Arial" w:cs="Arial"/>
                <w:sz w:val="20"/>
                <w:szCs w:val="20"/>
              </w:rPr>
              <w:t>Positive impact on</w:t>
            </w:r>
            <w:r w:rsidRPr="009A3FCF">
              <w:rPr>
                <w:rFonts w:ascii="Arial" w:hAnsi="Arial" w:cs="Arial"/>
                <w:sz w:val="20"/>
                <w:szCs w:val="20"/>
              </w:rPr>
              <w:t xml:space="preserve"> </w:t>
            </w:r>
            <w:r w:rsidRPr="009A3FCF">
              <w:rPr>
                <w:rFonts w:ascii="Arial" w:hAnsi="Arial" w:cs="Arial"/>
                <w:sz w:val="20"/>
                <w:szCs w:val="20"/>
              </w:rPr>
              <w:t>WDES</w:t>
            </w:r>
          </w:p>
          <w:p w14:paraId="26D45FC6" w14:textId="77777777" w:rsidR="00322111" w:rsidRDefault="00322111" w:rsidP="00322111">
            <w:pPr>
              <w:contextualSpacing/>
              <w:rPr>
                <w:rFonts w:ascii="Arial" w:hAnsi="Arial" w:cs="Arial"/>
                <w:sz w:val="20"/>
                <w:szCs w:val="20"/>
              </w:rPr>
            </w:pPr>
          </w:p>
          <w:p w14:paraId="6EC6BB8F" w14:textId="77777777" w:rsidR="00322111" w:rsidRDefault="00322111" w:rsidP="00322111">
            <w:pPr>
              <w:contextualSpacing/>
              <w:rPr>
                <w:rFonts w:ascii="Arial" w:hAnsi="Arial" w:cs="Arial"/>
                <w:sz w:val="20"/>
                <w:szCs w:val="20"/>
              </w:rPr>
            </w:pPr>
          </w:p>
          <w:p w14:paraId="4734B331" w14:textId="77777777" w:rsidR="00322111" w:rsidRDefault="00322111" w:rsidP="00322111">
            <w:pPr>
              <w:contextualSpacing/>
              <w:rPr>
                <w:rFonts w:ascii="Arial" w:hAnsi="Arial" w:cs="Arial"/>
                <w:sz w:val="20"/>
                <w:szCs w:val="20"/>
              </w:rPr>
            </w:pPr>
          </w:p>
          <w:p w14:paraId="0A368449" w14:textId="4BCB3C76" w:rsidR="00322111" w:rsidRPr="009A3FCF" w:rsidRDefault="00322111" w:rsidP="00322111">
            <w:pPr>
              <w:contextualSpacing/>
              <w:rPr>
                <w:rFonts w:ascii="Arial" w:hAnsi="Arial" w:cs="Arial"/>
                <w:sz w:val="20"/>
                <w:szCs w:val="20"/>
              </w:rPr>
            </w:pPr>
          </w:p>
        </w:tc>
      </w:tr>
      <w:tr w:rsidR="00FD75DC" w:rsidRPr="00CE0366" w14:paraId="23342510" w14:textId="037CB1FC" w:rsidTr="006330F0">
        <w:trPr>
          <w:trHeight w:val="865"/>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2303C9A7" w14:textId="77777777" w:rsidR="00FD75DC" w:rsidRPr="00E41014" w:rsidRDefault="00FD75DC" w:rsidP="00CE0366">
            <w:pPr>
              <w:spacing w:line="256" w:lineRule="auto"/>
              <w:rPr>
                <w:rFonts w:ascii="Arial" w:eastAsia="Times New Roman" w:hAnsi="Arial" w:cs="Arial"/>
                <w:b/>
                <w:bCs/>
                <w:sz w:val="20"/>
                <w:szCs w:val="20"/>
                <w:lang w:eastAsia="en-GB"/>
              </w:rPr>
            </w:pPr>
            <w:r w:rsidRPr="00E41014">
              <w:rPr>
                <w:rFonts w:ascii="Arial" w:eastAsia="Calibri" w:hAnsi="Arial" w:cs="Arial"/>
                <w:b/>
                <w:bCs/>
                <w:color w:val="000000" w:themeColor="text1"/>
                <w:kern w:val="24"/>
                <w:sz w:val="20"/>
                <w:szCs w:val="20"/>
                <w:lang w:eastAsia="en-GB"/>
              </w:rPr>
              <w:lastRenderedPageBreak/>
              <w:t>2</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635BD2EC" w14:textId="536B77B0"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 xml:space="preserve">Relative likelihood of white applicants being appointed from shortlisting across all posts compared to BAME </w:t>
            </w:r>
            <w:r w:rsidR="00AB456B" w:rsidRPr="00E41014">
              <w:rPr>
                <w:rFonts w:ascii="Arial" w:eastAsia="Calibri" w:hAnsi="Arial" w:cs="Arial"/>
                <w:b/>
                <w:bCs/>
                <w:color w:val="000000" w:themeColor="text1"/>
                <w:kern w:val="24"/>
                <w:sz w:val="20"/>
                <w:szCs w:val="20"/>
                <w:lang w:eastAsia="en-GB"/>
              </w:rPr>
              <w:t>applicants.</w:t>
            </w:r>
            <w:r w:rsidRPr="00E41014">
              <w:rPr>
                <w:rFonts w:ascii="Arial" w:eastAsia="Calibri" w:hAnsi="Arial" w:cs="Arial"/>
                <w:b/>
                <w:bCs/>
                <w:color w:val="000000" w:themeColor="text1"/>
                <w:kern w:val="24"/>
                <w:sz w:val="20"/>
                <w:szCs w:val="20"/>
                <w:lang w:eastAsia="en-GB"/>
              </w:rPr>
              <w:t xml:space="preserve"> </w:t>
            </w:r>
          </w:p>
          <w:p w14:paraId="54B79DF8" w14:textId="77777777" w:rsidR="00FD75DC" w:rsidRPr="00E41014" w:rsidRDefault="00FD75DC" w:rsidP="00CE0366">
            <w:pPr>
              <w:spacing w:line="256" w:lineRule="auto"/>
              <w:rPr>
                <w:rFonts w:ascii="Arial" w:eastAsia="Times New Roman" w:hAnsi="Arial" w:cs="Arial"/>
                <w:b/>
                <w:bCs/>
                <w:sz w:val="20"/>
                <w:szCs w:val="20"/>
                <w:lang w:eastAsia="en-GB"/>
              </w:rPr>
            </w:pPr>
            <w:r w:rsidRPr="00E41014">
              <w:rPr>
                <w:rFonts w:ascii="Arial" w:eastAsia="Calibri" w:hAnsi="Arial" w:cs="Arial"/>
                <w:b/>
                <w:bCs/>
                <w:color w:val="000000" w:themeColor="text1"/>
                <w:kern w:val="24"/>
                <w:sz w:val="20"/>
                <w:szCs w:val="20"/>
                <w:lang w:eastAsia="en-GB"/>
              </w:rPr>
              <w:t>Target:</w:t>
            </w:r>
            <w:r w:rsidRPr="00E41014">
              <w:rPr>
                <w:b/>
                <w:bCs/>
                <w:sz w:val="20"/>
                <w:szCs w:val="20"/>
              </w:rPr>
              <w:t xml:space="preserve"> </w:t>
            </w:r>
            <w:r w:rsidRPr="00E41014">
              <w:rPr>
                <w:rFonts w:ascii="Arial" w:eastAsia="Calibri" w:hAnsi="Arial" w:cs="Arial"/>
                <w:b/>
                <w:bCs/>
                <w:color w:val="000000" w:themeColor="text1"/>
                <w:kern w:val="24"/>
                <w:sz w:val="20"/>
                <w:szCs w:val="20"/>
                <w:lang w:eastAsia="en-GB"/>
              </w:rPr>
              <w:t>decreased to 1.2 by July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94C9A12" w14:textId="592D398D" w:rsidR="005250C1" w:rsidRPr="00E41014" w:rsidRDefault="003732FD" w:rsidP="00AE6E42">
            <w:pPr>
              <w:spacing w:after="0" w:line="256" w:lineRule="auto"/>
              <w:contextualSpacing/>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 xml:space="preserve">Revised target for Sept 23 </w:t>
            </w:r>
            <w:r w:rsidR="006330F0">
              <w:rPr>
                <w:rFonts w:ascii="Arial" w:eastAsia="Calibri" w:hAnsi="Arial" w:cs="Arial"/>
                <w:b/>
                <w:bCs/>
                <w:color w:val="000000" w:themeColor="text1"/>
                <w:kern w:val="24"/>
                <w:sz w:val="20"/>
                <w:szCs w:val="20"/>
                <w:lang w:eastAsia="en-GB"/>
              </w:rPr>
              <w:t>/24</w:t>
            </w:r>
          </w:p>
          <w:p w14:paraId="61C4B4BC" w14:textId="4B06A74A" w:rsidR="00FD75DC" w:rsidRPr="00E41014" w:rsidRDefault="00AE6E42" w:rsidP="00AE6E42">
            <w:pPr>
              <w:spacing w:after="0" w:line="256" w:lineRule="auto"/>
              <w:contextualSpacing/>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1.2</w:t>
            </w:r>
          </w:p>
        </w:tc>
      </w:tr>
      <w:tr w:rsidR="00FD75DC" w:rsidRPr="005916CB" w14:paraId="1EE24860" w14:textId="304BD65B" w:rsidTr="00624F9E">
        <w:trPr>
          <w:trHeight w:val="865"/>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227E94DB" w14:textId="03AC1EF0"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2019</w:t>
            </w:r>
            <w:r w:rsidR="00F919F3" w:rsidRPr="00E41014">
              <w:rPr>
                <w:rFonts w:ascii="Arial" w:eastAsia="Calibri" w:hAnsi="Arial" w:cs="Arial"/>
                <w:b/>
                <w:bCs/>
                <w:color w:val="000000" w:themeColor="text1"/>
                <w:kern w:val="24"/>
                <w:sz w:val="20"/>
                <w:szCs w:val="20"/>
                <w:lang w:eastAsia="en-GB"/>
              </w:rPr>
              <w:t>/20</w:t>
            </w:r>
          </w:p>
          <w:p w14:paraId="6D215851" w14:textId="7777777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1.40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3346158F" w14:textId="0C15FE1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2020</w:t>
            </w:r>
            <w:r w:rsidR="00F919F3" w:rsidRPr="00E41014">
              <w:rPr>
                <w:rFonts w:ascii="Arial" w:eastAsia="Calibri" w:hAnsi="Arial" w:cs="Arial"/>
                <w:b/>
                <w:bCs/>
                <w:color w:val="000000" w:themeColor="text1"/>
                <w:kern w:val="24"/>
                <w:sz w:val="20"/>
                <w:szCs w:val="20"/>
                <w:lang w:eastAsia="en-GB"/>
              </w:rPr>
              <w:t>/21</w:t>
            </w:r>
          </w:p>
          <w:p w14:paraId="22B5EBCA" w14:textId="77777777"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1.36</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382359E2" w14:textId="30B5EB43" w:rsidR="00FD75DC" w:rsidRPr="00E41014" w:rsidRDefault="00FD75DC"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2021</w:t>
            </w:r>
            <w:r w:rsidR="00F919F3" w:rsidRPr="00E41014">
              <w:rPr>
                <w:rFonts w:ascii="Arial" w:eastAsia="Calibri" w:hAnsi="Arial" w:cs="Arial"/>
                <w:b/>
                <w:bCs/>
                <w:color w:val="000000" w:themeColor="text1"/>
                <w:kern w:val="24"/>
                <w:sz w:val="20"/>
                <w:szCs w:val="20"/>
                <w:lang w:eastAsia="en-GB"/>
              </w:rPr>
              <w:t>/22</w:t>
            </w:r>
          </w:p>
          <w:p w14:paraId="7C031FA7" w14:textId="09FDC76E" w:rsidR="00FD75DC" w:rsidRPr="00E41014" w:rsidRDefault="00FD75DC" w:rsidP="00CE0366">
            <w:pPr>
              <w:spacing w:line="256" w:lineRule="auto"/>
              <w:rPr>
                <w:rFonts w:ascii="Arial" w:eastAsia="Calibri" w:hAnsi="Arial" w:cs="Arial"/>
                <w:b/>
                <w:bCs/>
                <w:color w:val="ED7D31" w:themeColor="accent2"/>
                <w:kern w:val="24"/>
                <w:sz w:val="20"/>
                <w:szCs w:val="20"/>
                <w:lang w:eastAsia="en-GB"/>
              </w:rPr>
            </w:pPr>
            <w:r w:rsidRPr="00E41014">
              <w:rPr>
                <w:rFonts w:ascii="Arial" w:eastAsia="Calibri" w:hAnsi="Arial" w:cs="Arial"/>
                <w:b/>
                <w:bCs/>
                <w:color w:val="ED7D31" w:themeColor="accent2"/>
                <w:kern w:val="24"/>
                <w:sz w:val="20"/>
                <w:szCs w:val="20"/>
                <w:lang w:eastAsia="en-GB"/>
              </w:rPr>
              <w:t>1.41</w:t>
            </w:r>
          </w:p>
        </w:tc>
        <w:tc>
          <w:tcPr>
            <w:tcW w:w="1615" w:type="dxa"/>
            <w:tcBorders>
              <w:top w:val="single" w:sz="8" w:space="0" w:color="000000"/>
              <w:left w:val="single" w:sz="8" w:space="0" w:color="000000"/>
              <w:bottom w:val="single" w:sz="8" w:space="0" w:color="000000"/>
              <w:right w:val="single" w:sz="8" w:space="0" w:color="000000"/>
            </w:tcBorders>
          </w:tcPr>
          <w:p w14:paraId="5DABEDBD" w14:textId="77777777" w:rsidR="00FD75DC" w:rsidRPr="00E41014" w:rsidRDefault="002819FD"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000000" w:themeColor="text1"/>
                <w:kern w:val="24"/>
                <w:sz w:val="20"/>
                <w:szCs w:val="20"/>
                <w:lang w:eastAsia="en-GB"/>
              </w:rPr>
              <w:t>2022/23</w:t>
            </w:r>
          </w:p>
          <w:p w14:paraId="686B2252" w14:textId="5BBC1CAA" w:rsidR="00197317" w:rsidRPr="00E41014" w:rsidRDefault="006A1CF6" w:rsidP="00CE0366">
            <w:pPr>
              <w:spacing w:line="256" w:lineRule="auto"/>
              <w:rPr>
                <w:rFonts w:ascii="Arial" w:eastAsia="Calibri" w:hAnsi="Arial" w:cs="Arial"/>
                <w:b/>
                <w:bCs/>
                <w:color w:val="000000" w:themeColor="text1"/>
                <w:kern w:val="24"/>
                <w:sz w:val="20"/>
                <w:szCs w:val="20"/>
                <w:lang w:eastAsia="en-GB"/>
              </w:rPr>
            </w:pPr>
            <w:r w:rsidRPr="00E41014">
              <w:rPr>
                <w:rFonts w:ascii="Arial" w:eastAsia="Calibri" w:hAnsi="Arial" w:cs="Arial"/>
                <w:b/>
                <w:bCs/>
                <w:color w:val="FF0000"/>
                <w:kern w:val="24"/>
                <w:sz w:val="20"/>
                <w:szCs w:val="20"/>
                <w:lang w:eastAsia="en-GB"/>
              </w:rPr>
              <w:t>1.43</w:t>
            </w:r>
          </w:p>
        </w:tc>
      </w:tr>
      <w:tr w:rsidR="002D0F67" w:rsidRPr="005916CB" w14:paraId="31CB10AE" w14:textId="77777777" w:rsidTr="00747E40">
        <w:trPr>
          <w:trHeight w:val="865"/>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38B2E23B" w14:textId="77777777" w:rsidR="002D0F67" w:rsidRPr="00E41014" w:rsidRDefault="002D0F67" w:rsidP="002D0F67">
            <w:pPr>
              <w:spacing w:line="256" w:lineRule="auto"/>
              <w:rPr>
                <w:rFonts w:ascii="Arial" w:eastAsia="Calibri" w:hAnsi="Arial" w:cs="Arial"/>
                <w:b/>
                <w:bCs/>
                <w:kern w:val="24"/>
                <w:sz w:val="20"/>
                <w:szCs w:val="20"/>
                <w:lang w:eastAsia="en-GB"/>
              </w:rPr>
            </w:pPr>
            <w:r w:rsidRPr="00E41014">
              <w:rPr>
                <w:rFonts w:ascii="Arial" w:eastAsia="Calibri" w:hAnsi="Arial" w:cs="Arial"/>
                <w:b/>
                <w:bCs/>
                <w:kern w:val="24"/>
                <w:sz w:val="20"/>
                <w:szCs w:val="20"/>
                <w:lang w:eastAsia="en-GB"/>
              </w:rPr>
              <w:t>Narrative as of May 2023</w:t>
            </w:r>
          </w:p>
          <w:p w14:paraId="419DC85A" w14:textId="77777777" w:rsidR="002D0F67" w:rsidRPr="00E55176" w:rsidRDefault="002D0F67" w:rsidP="002D0F67">
            <w:pPr>
              <w:spacing w:line="256" w:lineRule="auto"/>
              <w:rPr>
                <w:rStyle w:val="ui-provider"/>
                <w:rFonts w:ascii="Arial" w:hAnsi="Arial" w:cs="Arial"/>
                <w:sz w:val="20"/>
                <w:szCs w:val="20"/>
              </w:rPr>
            </w:pPr>
            <w:r w:rsidRPr="00E55176">
              <w:rPr>
                <w:rStyle w:val="ui-provider"/>
                <w:rFonts w:ascii="Arial" w:hAnsi="Arial" w:cs="Arial"/>
                <w:sz w:val="20"/>
                <w:szCs w:val="20"/>
              </w:rPr>
              <w:t>It is worthwhile to note, that</w:t>
            </w:r>
            <w:r w:rsidRPr="00E55176">
              <w:rPr>
                <w:rStyle w:val="ui-provider"/>
              </w:rPr>
              <w:t xml:space="preserve"> there </w:t>
            </w:r>
            <w:r w:rsidRPr="00E55176">
              <w:rPr>
                <w:rStyle w:val="ui-provider"/>
                <w:rFonts w:ascii="Arial" w:hAnsi="Arial" w:cs="Arial"/>
                <w:sz w:val="20"/>
                <w:szCs w:val="20"/>
              </w:rPr>
              <w:t xml:space="preserve">is a better % better at Offer – at offer there is a ratio of 1.27. </w:t>
            </w:r>
          </w:p>
          <w:p w14:paraId="5D1BF325" w14:textId="77777777" w:rsidR="002D0F67" w:rsidRPr="00E55176" w:rsidRDefault="002D0F67" w:rsidP="002D0F67">
            <w:pPr>
              <w:spacing w:line="256" w:lineRule="auto"/>
              <w:rPr>
                <w:rStyle w:val="ui-provider"/>
                <w:rFonts w:ascii="Arial" w:hAnsi="Arial" w:cs="Arial"/>
                <w:sz w:val="20"/>
                <w:szCs w:val="20"/>
              </w:rPr>
            </w:pPr>
            <w:r w:rsidRPr="00E55176">
              <w:rPr>
                <w:rStyle w:val="ui-provider"/>
                <w:rFonts w:ascii="Arial" w:hAnsi="Arial" w:cs="Arial"/>
                <w:sz w:val="20"/>
                <w:szCs w:val="20"/>
              </w:rPr>
              <w:t>However less BAME offers convert to appointments - 30% of those BAME offered do not become appointed, vs 22% White. This drop off is due to RTW checks being carried out after offer – also worth noting there was a large scale NHSE event that recruited and offered but high % did not translate into new starters and this impacted on conversion rate and lowered due to RTW.</w:t>
            </w:r>
          </w:p>
          <w:p w14:paraId="144BB31A" w14:textId="77777777" w:rsidR="002D0F67" w:rsidRPr="00E55176" w:rsidRDefault="002D0F67" w:rsidP="002D0F67">
            <w:pPr>
              <w:spacing w:line="256" w:lineRule="auto"/>
              <w:rPr>
                <w:rStyle w:val="ui-provider"/>
                <w:rFonts w:ascii="Arial" w:hAnsi="Arial" w:cs="Arial"/>
                <w:sz w:val="20"/>
                <w:szCs w:val="20"/>
              </w:rPr>
            </w:pPr>
            <w:r w:rsidRPr="00E55176">
              <w:rPr>
                <w:rStyle w:val="ui-provider"/>
                <w:rFonts w:ascii="Arial" w:hAnsi="Arial" w:cs="Arial"/>
                <w:sz w:val="20"/>
                <w:szCs w:val="20"/>
              </w:rPr>
              <w:t>It’s worth considering the impact of the recent HCSA visa that came out last years that enables overseas on sponsorship for visa. This will also have impacted on recruitment stats. More people will have applied and been SL and offered but the reality is the NHS does not financially sign off recruitment of internationally recruited HCAs.</w:t>
            </w:r>
          </w:p>
          <w:p w14:paraId="3722AC0F" w14:textId="77777777" w:rsidR="002D0F67" w:rsidRPr="00E55176" w:rsidRDefault="002D0F67" w:rsidP="002D0F67">
            <w:pPr>
              <w:spacing w:line="256" w:lineRule="auto"/>
              <w:rPr>
                <w:rFonts w:ascii="Arial" w:eastAsia="Calibri" w:hAnsi="Arial" w:cs="Arial"/>
                <w:kern w:val="24"/>
                <w:sz w:val="20"/>
                <w:szCs w:val="20"/>
                <w:lang w:eastAsia="en-GB"/>
              </w:rPr>
            </w:pPr>
            <w:r w:rsidRPr="00E55176">
              <w:rPr>
                <w:rFonts w:ascii="Arial" w:eastAsia="Calibri" w:hAnsi="Arial" w:cs="Arial"/>
                <w:kern w:val="24"/>
                <w:sz w:val="20"/>
                <w:szCs w:val="20"/>
                <w:lang w:eastAsia="en-GB"/>
              </w:rPr>
              <w:t>The other factor that impacts this is the high level of ‘Unknow’ are 61% - this has been consistent over the years and will affect this indicator.</w:t>
            </w:r>
          </w:p>
          <w:p w14:paraId="54C8AE14" w14:textId="77777777" w:rsidR="002D0F67" w:rsidRPr="00E41014" w:rsidRDefault="002D0F67" w:rsidP="00CE0366">
            <w:pPr>
              <w:spacing w:line="256" w:lineRule="auto"/>
              <w:rPr>
                <w:rFonts w:ascii="Arial" w:eastAsia="Calibri" w:hAnsi="Arial" w:cs="Arial"/>
                <w:b/>
                <w:bCs/>
                <w:color w:val="000000" w:themeColor="text1"/>
                <w:kern w:val="24"/>
                <w:sz w:val="20"/>
                <w:szCs w:val="20"/>
                <w:lang w:eastAsia="en-GB"/>
              </w:rPr>
            </w:pPr>
          </w:p>
        </w:tc>
      </w:tr>
      <w:tr w:rsidR="00322111" w:rsidRPr="005916CB" w14:paraId="3CE06C7C" w14:textId="77777777" w:rsidTr="00E55176">
        <w:trPr>
          <w:trHeight w:val="865"/>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49111801" w14:textId="77777777" w:rsidR="00322111" w:rsidRDefault="00322111" w:rsidP="00322111">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6B74B872" w14:textId="32BB7248" w:rsidR="00AB456B" w:rsidRDefault="00AB456B" w:rsidP="00322111">
            <w:pPr>
              <w:spacing w:line="256" w:lineRule="auto"/>
              <w:rPr>
                <w:rFonts w:ascii="Arial" w:eastAsia="Calibri" w:hAnsi="Arial" w:cs="Arial"/>
                <w:b/>
                <w:bCs/>
                <w:kern w:val="24"/>
                <w:sz w:val="20"/>
                <w:szCs w:val="20"/>
                <w:lang w:eastAsia="en-GB"/>
              </w:rPr>
            </w:pPr>
            <w:r w:rsidRPr="002C6E9D">
              <w:rPr>
                <w:rStyle w:val="normaltextrun"/>
                <w:rFonts w:ascii="Arial" w:hAnsi="Arial" w:cs="Arial"/>
                <w:color w:val="000000"/>
                <w:sz w:val="20"/>
                <w:szCs w:val="20"/>
                <w:shd w:val="clear" w:color="auto" w:fill="FFFFFF"/>
              </w:rPr>
              <w:t xml:space="preserve">Ensure our attraction and recruitment processes are equitable and </w:t>
            </w:r>
            <w:r w:rsidR="004D2D64" w:rsidRPr="002C6E9D">
              <w:rPr>
                <w:rStyle w:val="normaltextrun"/>
                <w:rFonts w:ascii="Arial" w:hAnsi="Arial" w:cs="Arial"/>
                <w:color w:val="000000"/>
                <w:sz w:val="20"/>
                <w:szCs w:val="20"/>
                <w:shd w:val="clear" w:color="auto" w:fill="FFFFFF"/>
              </w:rPr>
              <w:t>inclusive.</w:t>
            </w:r>
          </w:p>
          <w:p w14:paraId="1BED4EE6" w14:textId="77777777" w:rsidR="00322111" w:rsidRPr="00E41014" w:rsidRDefault="00322111" w:rsidP="00CE0366">
            <w:pPr>
              <w:spacing w:line="256" w:lineRule="auto"/>
              <w:rPr>
                <w:rFonts w:ascii="Arial" w:eastAsia="Calibri" w:hAnsi="Arial" w:cs="Arial"/>
                <w:b/>
                <w:bCs/>
                <w:color w:val="000000" w:themeColor="text1"/>
                <w:kern w:val="24"/>
                <w:sz w:val="20"/>
                <w:szCs w:val="20"/>
                <w:lang w:eastAsia="en-GB"/>
              </w:rPr>
            </w:pP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00A4F249" w14:textId="77777777" w:rsidR="00322111" w:rsidRDefault="00322111" w:rsidP="00322111">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Output/ Outcomes</w:t>
            </w:r>
          </w:p>
          <w:p w14:paraId="3732D0C6" w14:textId="140158A6" w:rsid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 xml:space="preserve">Toolkit, guidance and training that draws on Roger Kline, London debias and other evidence-based approaches to inclusive </w:t>
            </w:r>
            <w:r w:rsidRPr="004D2D64">
              <w:rPr>
                <w:rFonts w:ascii="Arial" w:eastAsia="Calibri" w:hAnsi="Arial" w:cs="Arial"/>
                <w:color w:val="000000" w:themeColor="text1"/>
                <w:kern w:val="24"/>
                <w:sz w:val="20"/>
                <w:szCs w:val="20"/>
                <w:lang w:eastAsia="en-GB"/>
              </w:rPr>
              <w:t>recruitment.</w:t>
            </w:r>
          </w:p>
          <w:p w14:paraId="1DA3C2AD" w14:textId="62E61854"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Pr>
                <w:rFonts w:ascii="Arial" w:eastAsia="Calibri" w:hAnsi="Arial" w:cs="Arial"/>
                <w:color w:val="000000" w:themeColor="text1"/>
                <w:kern w:val="24"/>
                <w:sz w:val="20"/>
                <w:szCs w:val="20"/>
                <w:lang w:eastAsia="en-GB"/>
              </w:rPr>
              <w:t xml:space="preserve">Use of </w:t>
            </w:r>
            <w:proofErr w:type="spellStart"/>
            <w:r>
              <w:rPr>
                <w:rFonts w:ascii="Arial" w:eastAsia="Calibri" w:hAnsi="Arial" w:cs="Arial"/>
                <w:color w:val="000000" w:themeColor="text1"/>
                <w:kern w:val="24"/>
                <w:sz w:val="20"/>
                <w:szCs w:val="20"/>
                <w:lang w:eastAsia="en-GB"/>
              </w:rPr>
              <w:t>OIio</w:t>
            </w:r>
            <w:proofErr w:type="spellEnd"/>
            <w:r>
              <w:rPr>
                <w:rFonts w:ascii="Arial" w:eastAsia="Calibri" w:hAnsi="Arial" w:cs="Arial"/>
                <w:color w:val="000000" w:themeColor="text1"/>
                <w:kern w:val="24"/>
                <w:sz w:val="20"/>
                <w:szCs w:val="20"/>
                <w:lang w:eastAsia="en-GB"/>
              </w:rPr>
              <w:t xml:space="preserve"> recruitment system to debias process</w:t>
            </w:r>
            <w:r w:rsidRPr="004D2D64">
              <w:rPr>
                <w:rFonts w:ascii="Arial" w:eastAsia="Calibri" w:hAnsi="Arial" w:cs="Arial"/>
                <w:color w:val="000000" w:themeColor="text1"/>
                <w:kern w:val="24"/>
                <w:sz w:val="20"/>
                <w:szCs w:val="20"/>
                <w:lang w:eastAsia="en-GB"/>
              </w:rPr>
              <w:t xml:space="preserve">. </w:t>
            </w:r>
          </w:p>
          <w:p w14:paraId="2E703945" w14:textId="77777777"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 xml:space="preserve">Trained recruitment Allies on band 7 and above posts </w:t>
            </w:r>
          </w:p>
          <w:p w14:paraId="2251DE6A" w14:textId="77777777"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 xml:space="preserve">Increased use of community partners </w:t>
            </w:r>
          </w:p>
          <w:p w14:paraId="39CE53E3" w14:textId="77777777"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 xml:space="preserve">Increased applicants from the communities we serve  </w:t>
            </w:r>
          </w:p>
          <w:p w14:paraId="3B74FAF7" w14:textId="77777777"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 xml:space="preserve">Retention and cultural programme in place for internationally recruited colleagues </w:t>
            </w:r>
          </w:p>
          <w:p w14:paraId="11CCA4DC" w14:textId="77777777" w:rsidR="004D2D64" w:rsidRPr="004D2D64" w:rsidRDefault="004D2D64" w:rsidP="004D2D64">
            <w:pPr>
              <w:numPr>
                <w:ilvl w:val="0"/>
                <w:numId w:val="20"/>
              </w:numPr>
              <w:spacing w:after="0" w:line="240" w:lineRule="auto"/>
              <w:rPr>
                <w:rFonts w:ascii="Arial" w:eastAsia="Calibri" w:hAnsi="Arial" w:cs="Arial"/>
                <w:color w:val="000000" w:themeColor="text1"/>
                <w:kern w:val="24"/>
                <w:sz w:val="20"/>
                <w:szCs w:val="20"/>
                <w:lang w:eastAsia="en-GB"/>
              </w:rPr>
            </w:pPr>
            <w:r w:rsidRPr="004D2D64">
              <w:rPr>
                <w:rFonts w:ascii="Arial" w:eastAsia="Calibri" w:hAnsi="Arial" w:cs="Arial"/>
                <w:color w:val="000000" w:themeColor="text1"/>
                <w:kern w:val="24"/>
                <w:sz w:val="20"/>
                <w:szCs w:val="20"/>
                <w:lang w:eastAsia="en-GB"/>
              </w:rPr>
              <w:t>Positive impact on WDES</w:t>
            </w:r>
          </w:p>
          <w:p w14:paraId="7BF609B6" w14:textId="77777777" w:rsidR="00322111" w:rsidRDefault="00322111" w:rsidP="00CE0366">
            <w:pPr>
              <w:spacing w:line="256" w:lineRule="auto"/>
              <w:rPr>
                <w:rFonts w:ascii="Arial" w:eastAsia="Calibri" w:hAnsi="Arial" w:cs="Arial"/>
                <w:b/>
                <w:bCs/>
                <w:color w:val="000000" w:themeColor="text1"/>
                <w:kern w:val="24"/>
                <w:sz w:val="20"/>
                <w:szCs w:val="20"/>
                <w:lang w:eastAsia="en-GB"/>
              </w:rPr>
            </w:pPr>
          </w:p>
          <w:p w14:paraId="43EED7FA" w14:textId="34CEC8B1" w:rsidR="002D0F67" w:rsidRPr="00E41014" w:rsidRDefault="002D0F67" w:rsidP="00CE0366">
            <w:pPr>
              <w:spacing w:line="256" w:lineRule="auto"/>
              <w:rPr>
                <w:rFonts w:ascii="Arial" w:eastAsia="Calibri" w:hAnsi="Arial" w:cs="Arial"/>
                <w:b/>
                <w:bCs/>
                <w:color w:val="000000" w:themeColor="text1"/>
                <w:kern w:val="24"/>
                <w:sz w:val="20"/>
                <w:szCs w:val="20"/>
                <w:lang w:eastAsia="en-GB"/>
              </w:rPr>
            </w:pPr>
          </w:p>
        </w:tc>
      </w:tr>
      <w:tr w:rsidR="00FD75DC" w:rsidRPr="00CE0366" w14:paraId="74E6D394" w14:textId="40144FA9" w:rsidTr="006330F0">
        <w:trPr>
          <w:trHeight w:val="416"/>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69FF4458"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lastRenderedPageBreak/>
              <w:t>3</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00EDCA06" w14:textId="77777777" w:rsidR="00FD75DC" w:rsidRPr="00E55176" w:rsidRDefault="00FD75DC" w:rsidP="00CE0366">
            <w:pPr>
              <w:spacing w:line="256" w:lineRule="auto"/>
              <w:rPr>
                <w:rFonts w:ascii="Arial" w:eastAsia="Calibri" w:hAnsi="Arial" w:cs="Arial"/>
                <w:b/>
                <w:bCs/>
                <w:color w:val="000000" w:themeColor="text1"/>
                <w:kern w:val="24"/>
                <w:sz w:val="20"/>
                <w:szCs w:val="20"/>
                <w:lang w:eastAsia="en-GB"/>
              </w:rPr>
            </w:pPr>
            <w:r w:rsidRPr="00E55176">
              <w:rPr>
                <w:rFonts w:ascii="Arial" w:eastAsia="Calibri" w:hAnsi="Arial" w:cs="Arial"/>
                <w:b/>
                <w:bCs/>
                <w:color w:val="000000" w:themeColor="text1"/>
                <w:kern w:val="24"/>
                <w:sz w:val="20"/>
                <w:szCs w:val="20"/>
                <w:lang w:eastAsia="en-GB"/>
              </w:rPr>
              <w:t>Relative likelihood of BAME staff entering the formal disciplinary process compared to white staff</w:t>
            </w:r>
          </w:p>
          <w:p w14:paraId="3D6C0ACB"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Times New Roman" w:hAnsi="Arial" w:cs="Arial"/>
                <w:b/>
                <w:bCs/>
                <w:sz w:val="20"/>
                <w:szCs w:val="20"/>
                <w:lang w:eastAsia="en-GB"/>
              </w:rPr>
              <w:t>Target:</w:t>
            </w:r>
            <w:r w:rsidRPr="00E55176">
              <w:rPr>
                <w:b/>
                <w:bCs/>
                <w:sz w:val="20"/>
                <w:szCs w:val="20"/>
              </w:rPr>
              <w:t xml:space="preserve"> </w:t>
            </w:r>
            <w:r w:rsidRPr="00E55176">
              <w:rPr>
                <w:rFonts w:ascii="Arial" w:eastAsia="Times New Roman" w:hAnsi="Arial" w:cs="Arial"/>
                <w:b/>
                <w:bCs/>
                <w:sz w:val="20"/>
                <w:szCs w:val="20"/>
                <w:lang w:eastAsia="en-GB"/>
              </w:rPr>
              <w:t>Decrease 1.5 by July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F1DAAFB" w14:textId="527200FC" w:rsidR="00AE6E42" w:rsidRDefault="00AE6E42" w:rsidP="00AE6E42">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for Sept 23</w:t>
            </w:r>
            <w:r w:rsidR="006330F0">
              <w:rPr>
                <w:rFonts w:ascii="Arial" w:eastAsia="Calibri" w:hAnsi="Arial" w:cs="Arial"/>
                <w:b/>
                <w:bCs/>
                <w:color w:val="000000" w:themeColor="text1"/>
                <w:kern w:val="24"/>
                <w:sz w:val="20"/>
                <w:szCs w:val="20"/>
                <w:lang w:eastAsia="en-GB"/>
              </w:rPr>
              <w:t>/24</w:t>
            </w:r>
            <w:r>
              <w:rPr>
                <w:rFonts w:ascii="Arial" w:eastAsia="Calibri" w:hAnsi="Arial" w:cs="Arial"/>
                <w:b/>
                <w:bCs/>
                <w:color w:val="000000" w:themeColor="text1"/>
                <w:kern w:val="24"/>
                <w:sz w:val="20"/>
                <w:szCs w:val="20"/>
                <w:lang w:eastAsia="en-GB"/>
              </w:rPr>
              <w:t xml:space="preserve"> </w:t>
            </w:r>
          </w:p>
          <w:p w14:paraId="6640DD4F" w14:textId="1C116413" w:rsidR="00FD75DC" w:rsidRPr="00CE0366" w:rsidRDefault="00FE5510" w:rsidP="00CE0366">
            <w:pPr>
              <w:spacing w:line="256" w:lineRule="auto"/>
              <w:rPr>
                <w:rFonts w:ascii="Arial" w:eastAsia="Calibri" w:hAnsi="Arial" w:cs="Arial"/>
                <w:color w:val="000000" w:themeColor="text1"/>
                <w:kern w:val="24"/>
                <w:sz w:val="20"/>
                <w:szCs w:val="20"/>
                <w:lang w:eastAsia="en-GB"/>
              </w:rPr>
            </w:pPr>
            <w:r w:rsidRPr="00FE5510">
              <w:rPr>
                <w:rFonts w:ascii="Arial" w:eastAsia="Calibri" w:hAnsi="Arial" w:cs="Arial"/>
                <w:kern w:val="24"/>
                <w:sz w:val="20"/>
                <w:szCs w:val="20"/>
                <w:lang w:eastAsia="en-GB"/>
              </w:rPr>
              <w:t>1</w:t>
            </w:r>
          </w:p>
        </w:tc>
      </w:tr>
      <w:tr w:rsidR="00FD75DC" w:rsidRPr="005916CB" w14:paraId="4965F3E0" w14:textId="257444DE" w:rsidTr="00624F9E">
        <w:trPr>
          <w:trHeight w:val="416"/>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564FC528" w14:textId="30DFD4A5"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919F3">
              <w:rPr>
                <w:rFonts w:ascii="Arial" w:eastAsia="Calibri" w:hAnsi="Arial" w:cs="Arial"/>
                <w:color w:val="000000" w:themeColor="text1"/>
                <w:kern w:val="24"/>
                <w:sz w:val="20"/>
                <w:szCs w:val="20"/>
                <w:lang w:eastAsia="en-GB"/>
              </w:rPr>
              <w:t>/20</w:t>
            </w:r>
          </w:p>
          <w:p w14:paraId="4D4B7B0E"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1.55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63BC94A9" w14:textId="488FE921"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919F3">
              <w:rPr>
                <w:rFonts w:ascii="Arial" w:eastAsia="Calibri" w:hAnsi="Arial" w:cs="Arial"/>
                <w:color w:val="000000" w:themeColor="text1"/>
                <w:kern w:val="24"/>
                <w:sz w:val="20"/>
                <w:szCs w:val="20"/>
                <w:lang w:eastAsia="en-GB"/>
              </w:rPr>
              <w:t>/21</w:t>
            </w:r>
          </w:p>
          <w:p w14:paraId="54A009A9"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2.64</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1A9F7250" w14:textId="12B08B73" w:rsidR="00FD75DC"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919F3">
              <w:rPr>
                <w:rFonts w:ascii="Arial" w:eastAsia="Calibri" w:hAnsi="Arial" w:cs="Arial"/>
                <w:color w:val="000000" w:themeColor="text1"/>
                <w:kern w:val="24"/>
                <w:sz w:val="20"/>
                <w:szCs w:val="20"/>
                <w:lang w:eastAsia="en-GB"/>
              </w:rPr>
              <w:t>/22</w:t>
            </w:r>
          </w:p>
          <w:p w14:paraId="71F11956" w14:textId="206E67A4" w:rsidR="00FD75DC" w:rsidRPr="005916CB" w:rsidRDefault="00943DFF" w:rsidP="00CE0366">
            <w:pPr>
              <w:spacing w:line="256" w:lineRule="auto"/>
              <w:rPr>
                <w:rFonts w:ascii="Arial" w:eastAsia="Calibri" w:hAnsi="Arial" w:cs="Arial"/>
                <w:color w:val="000000" w:themeColor="text1"/>
                <w:kern w:val="24"/>
                <w:sz w:val="20"/>
                <w:szCs w:val="20"/>
                <w:lang w:eastAsia="en-GB"/>
              </w:rPr>
            </w:pPr>
            <w:r>
              <w:rPr>
                <w:rFonts w:ascii="Arial" w:eastAsia="Calibri" w:hAnsi="Arial" w:cs="Arial"/>
                <w:color w:val="000000" w:themeColor="text1"/>
                <w:kern w:val="24"/>
                <w:sz w:val="20"/>
                <w:szCs w:val="20"/>
                <w:lang w:eastAsia="en-GB"/>
              </w:rPr>
              <w:t xml:space="preserve"> </w:t>
            </w:r>
            <w:r w:rsidRPr="00943DFF">
              <w:rPr>
                <w:rFonts w:ascii="Arial" w:eastAsia="Calibri" w:hAnsi="Arial" w:cs="Arial"/>
                <w:b/>
                <w:bCs/>
                <w:color w:val="70AD47" w:themeColor="accent6"/>
                <w:kern w:val="24"/>
                <w:sz w:val="20"/>
                <w:szCs w:val="20"/>
                <w:lang w:eastAsia="en-GB"/>
              </w:rPr>
              <w:t>00</w:t>
            </w:r>
            <w:r>
              <w:rPr>
                <w:rFonts w:ascii="Arial" w:eastAsia="Calibri" w:hAnsi="Arial" w:cs="Arial"/>
                <w:color w:val="000000" w:themeColor="text1"/>
                <w:kern w:val="24"/>
                <w:sz w:val="20"/>
                <w:szCs w:val="20"/>
                <w:lang w:eastAsia="en-GB"/>
              </w:rPr>
              <w:t xml:space="preserve"> - </w:t>
            </w:r>
            <w:r w:rsidR="00FD75DC">
              <w:rPr>
                <w:rFonts w:ascii="Arial" w:eastAsia="Calibri" w:hAnsi="Arial" w:cs="Arial"/>
                <w:color w:val="000000" w:themeColor="text1"/>
                <w:kern w:val="24"/>
                <w:sz w:val="20"/>
                <w:szCs w:val="20"/>
                <w:lang w:eastAsia="en-GB"/>
              </w:rPr>
              <w:t>No BAME staff entering the formal disciplinary process in FY22, so not index calculated</w:t>
            </w:r>
          </w:p>
        </w:tc>
        <w:tc>
          <w:tcPr>
            <w:tcW w:w="1615" w:type="dxa"/>
            <w:tcBorders>
              <w:top w:val="single" w:sz="8" w:space="0" w:color="000000"/>
              <w:left w:val="single" w:sz="8" w:space="0" w:color="000000"/>
              <w:bottom w:val="single" w:sz="8" w:space="0" w:color="000000"/>
              <w:right w:val="single" w:sz="8" w:space="0" w:color="000000"/>
            </w:tcBorders>
          </w:tcPr>
          <w:p w14:paraId="401C372B" w14:textId="77777777" w:rsidR="00FD75DC" w:rsidRDefault="002819FD" w:rsidP="00CE0366">
            <w:pPr>
              <w:spacing w:line="256" w:lineRule="auto"/>
              <w:rPr>
                <w:rFonts w:ascii="Arial" w:eastAsia="Calibri" w:hAnsi="Arial" w:cs="Arial"/>
                <w:b/>
                <w:bCs/>
                <w:color w:val="000000" w:themeColor="text1"/>
                <w:kern w:val="24"/>
                <w:sz w:val="20"/>
                <w:szCs w:val="20"/>
                <w:lang w:eastAsia="en-GB"/>
              </w:rPr>
            </w:pPr>
            <w:r w:rsidRPr="001B5281">
              <w:rPr>
                <w:rFonts w:ascii="Arial" w:eastAsia="Calibri" w:hAnsi="Arial" w:cs="Arial"/>
                <w:b/>
                <w:bCs/>
                <w:color w:val="000000" w:themeColor="text1"/>
                <w:kern w:val="24"/>
                <w:sz w:val="20"/>
                <w:szCs w:val="20"/>
                <w:lang w:eastAsia="en-GB"/>
              </w:rPr>
              <w:t>2022/23</w:t>
            </w:r>
          </w:p>
          <w:p w14:paraId="7882B44A" w14:textId="6ABA66A7" w:rsidR="00197317" w:rsidRPr="005916CB" w:rsidRDefault="00197317" w:rsidP="00CE0366">
            <w:pPr>
              <w:spacing w:line="256" w:lineRule="auto"/>
              <w:rPr>
                <w:rFonts w:ascii="Arial" w:eastAsia="Calibri" w:hAnsi="Arial" w:cs="Arial"/>
                <w:color w:val="000000" w:themeColor="text1"/>
                <w:kern w:val="24"/>
                <w:sz w:val="20"/>
                <w:szCs w:val="20"/>
                <w:lang w:eastAsia="en-GB"/>
              </w:rPr>
            </w:pPr>
            <w:r w:rsidRPr="00F043BA">
              <w:rPr>
                <w:rFonts w:ascii="Arial" w:eastAsia="Calibri" w:hAnsi="Arial" w:cs="Arial"/>
                <w:b/>
                <w:bCs/>
                <w:color w:val="ED7D31" w:themeColor="accent2"/>
                <w:kern w:val="24"/>
                <w:sz w:val="20"/>
                <w:szCs w:val="20"/>
                <w:lang w:eastAsia="en-GB"/>
              </w:rPr>
              <w:t>1.21</w:t>
            </w:r>
          </w:p>
        </w:tc>
      </w:tr>
      <w:tr w:rsidR="00F871AF" w:rsidRPr="005916CB" w14:paraId="3028F444" w14:textId="77777777" w:rsidTr="006330F0">
        <w:trPr>
          <w:trHeight w:val="416"/>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7108618B" w14:textId="77777777" w:rsidR="00F871AF" w:rsidRDefault="00F871AF"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Narrative as of M</w:t>
            </w:r>
            <w:r w:rsidR="00125336">
              <w:rPr>
                <w:rFonts w:ascii="Arial" w:eastAsia="Calibri" w:hAnsi="Arial" w:cs="Arial"/>
                <w:b/>
                <w:bCs/>
                <w:kern w:val="24"/>
                <w:sz w:val="20"/>
                <w:szCs w:val="20"/>
                <w:lang w:eastAsia="en-GB"/>
              </w:rPr>
              <w:t xml:space="preserve">ay </w:t>
            </w:r>
            <w:r>
              <w:rPr>
                <w:rFonts w:ascii="Arial" w:eastAsia="Calibri" w:hAnsi="Arial" w:cs="Arial"/>
                <w:b/>
                <w:bCs/>
                <w:kern w:val="24"/>
                <w:sz w:val="20"/>
                <w:szCs w:val="20"/>
                <w:lang w:eastAsia="en-GB"/>
              </w:rPr>
              <w:t>2023</w:t>
            </w:r>
          </w:p>
          <w:p w14:paraId="07562E17" w14:textId="0942C745" w:rsidR="001E1824" w:rsidRPr="00352A9F" w:rsidRDefault="008E7820" w:rsidP="008E7820">
            <w:pPr>
              <w:rPr>
                <w:rFonts w:ascii="Arial" w:eastAsia="Calibri" w:hAnsi="Arial" w:cs="Arial"/>
                <w:b/>
                <w:bCs/>
                <w:kern w:val="24"/>
                <w:sz w:val="20"/>
                <w:szCs w:val="20"/>
                <w:lang w:eastAsia="en-GB"/>
              </w:rPr>
            </w:pPr>
            <w:r w:rsidRPr="00352A9F">
              <w:rPr>
                <w:rFonts w:ascii="Arial" w:eastAsia="Calibri" w:hAnsi="Arial" w:cs="Arial"/>
                <w:b/>
                <w:bCs/>
                <w:kern w:val="24"/>
                <w:sz w:val="20"/>
                <w:szCs w:val="20"/>
                <w:lang w:eastAsia="en-GB"/>
              </w:rPr>
              <w:t xml:space="preserve">2021-2022 </w:t>
            </w:r>
          </w:p>
          <w:p w14:paraId="352FA06B" w14:textId="40E568B0" w:rsidR="001E1824" w:rsidRPr="00352A9F" w:rsidRDefault="00032F79" w:rsidP="001E1824">
            <w:pPr>
              <w:rPr>
                <w:rFonts w:ascii="Arial" w:eastAsia="Calibri" w:hAnsi="Arial" w:cs="Arial"/>
                <w:kern w:val="24"/>
                <w:sz w:val="20"/>
                <w:szCs w:val="20"/>
                <w:lang w:eastAsia="en-GB"/>
              </w:rPr>
            </w:pPr>
            <w:r>
              <w:rPr>
                <w:rFonts w:ascii="Arial" w:eastAsia="Calibri" w:hAnsi="Arial" w:cs="Arial"/>
                <w:kern w:val="24"/>
                <w:sz w:val="20"/>
                <w:szCs w:val="20"/>
                <w:lang w:eastAsia="en-GB"/>
              </w:rPr>
              <w:t xml:space="preserve">For the reporting period </w:t>
            </w:r>
            <w:r w:rsidR="001E1824" w:rsidRPr="00352A9F">
              <w:rPr>
                <w:rFonts w:ascii="Arial" w:eastAsia="Calibri" w:hAnsi="Arial" w:cs="Arial"/>
                <w:kern w:val="24"/>
                <w:sz w:val="20"/>
                <w:szCs w:val="20"/>
                <w:lang w:eastAsia="en-GB"/>
              </w:rPr>
              <w:t xml:space="preserve">1st April’22 – 31st March’23 </w:t>
            </w:r>
          </w:p>
          <w:p w14:paraId="5FBDC2C7" w14:textId="28D55FDA" w:rsidR="00306F2E" w:rsidRPr="002D5B6A" w:rsidRDefault="00032F79" w:rsidP="008E7820">
            <w:pPr>
              <w:rPr>
                <w:rFonts w:ascii="Arial" w:eastAsia="Calibri" w:hAnsi="Arial" w:cs="Arial"/>
                <w:kern w:val="24"/>
                <w:sz w:val="20"/>
                <w:szCs w:val="20"/>
                <w:lang w:eastAsia="en-GB"/>
              </w:rPr>
            </w:pPr>
            <w:r>
              <w:rPr>
                <w:rFonts w:ascii="Arial" w:eastAsia="Calibri" w:hAnsi="Arial" w:cs="Arial"/>
                <w:kern w:val="24"/>
                <w:sz w:val="20"/>
                <w:szCs w:val="20"/>
                <w:lang w:eastAsia="en-GB"/>
              </w:rPr>
              <w:t xml:space="preserve">There were </w:t>
            </w:r>
            <w:r w:rsidR="001E1824" w:rsidRPr="002D5B6A">
              <w:rPr>
                <w:rFonts w:ascii="Arial" w:eastAsia="Calibri" w:hAnsi="Arial" w:cs="Arial"/>
                <w:kern w:val="24"/>
                <w:sz w:val="20"/>
                <w:szCs w:val="20"/>
                <w:lang w:eastAsia="en-GB"/>
              </w:rPr>
              <w:t>2</w:t>
            </w:r>
            <w:r w:rsidR="0056611D">
              <w:rPr>
                <w:rFonts w:ascii="Arial" w:eastAsia="Calibri" w:hAnsi="Arial" w:cs="Arial"/>
                <w:kern w:val="24"/>
                <w:sz w:val="20"/>
                <w:szCs w:val="20"/>
                <w:lang w:eastAsia="en-GB"/>
              </w:rPr>
              <w:t>2</w:t>
            </w:r>
            <w:r w:rsidR="001E1824" w:rsidRPr="002D5B6A">
              <w:rPr>
                <w:rFonts w:ascii="Arial" w:eastAsia="Calibri" w:hAnsi="Arial" w:cs="Arial"/>
                <w:kern w:val="24"/>
                <w:sz w:val="20"/>
                <w:szCs w:val="20"/>
                <w:lang w:eastAsia="en-GB"/>
              </w:rPr>
              <w:t xml:space="preserve"> staff entering formal disciplinary process. Of which 4 BAME.</w:t>
            </w:r>
            <w:r w:rsidR="00352A9F" w:rsidRPr="002D5B6A">
              <w:rPr>
                <w:rFonts w:ascii="Arial" w:eastAsia="Calibri" w:hAnsi="Arial" w:cs="Arial"/>
                <w:kern w:val="24"/>
                <w:sz w:val="20"/>
                <w:szCs w:val="20"/>
                <w:lang w:eastAsia="en-GB"/>
              </w:rPr>
              <w:t xml:space="preserve"> – </w:t>
            </w:r>
            <w:r>
              <w:rPr>
                <w:rFonts w:ascii="Arial" w:eastAsia="Calibri" w:hAnsi="Arial" w:cs="Arial"/>
                <w:kern w:val="24"/>
                <w:sz w:val="20"/>
                <w:szCs w:val="20"/>
                <w:lang w:eastAsia="en-GB"/>
              </w:rPr>
              <w:t xml:space="preserve">it’s worth noting </w:t>
            </w:r>
            <w:r w:rsidR="00352A9F" w:rsidRPr="002D5B6A">
              <w:rPr>
                <w:rFonts w:ascii="Arial" w:eastAsia="Calibri" w:hAnsi="Arial" w:cs="Arial"/>
                <w:kern w:val="24"/>
                <w:sz w:val="20"/>
                <w:szCs w:val="20"/>
                <w:lang w:eastAsia="en-GB"/>
              </w:rPr>
              <w:t>there has been in increase in all formal ER since the pandemic.</w:t>
            </w:r>
          </w:p>
          <w:p w14:paraId="59C5ECCE" w14:textId="77777777" w:rsidR="00DF2F62" w:rsidRDefault="00306F2E" w:rsidP="002D5B6A">
            <w:pPr>
              <w:rPr>
                <w:rFonts w:ascii="Arial" w:eastAsia="Calibri" w:hAnsi="Arial" w:cs="Arial"/>
                <w:kern w:val="24"/>
                <w:sz w:val="20"/>
                <w:szCs w:val="20"/>
                <w:lang w:eastAsia="en-GB"/>
              </w:rPr>
            </w:pPr>
            <w:r w:rsidRPr="002D5B6A">
              <w:rPr>
                <w:rFonts w:ascii="Arial" w:eastAsia="Calibri" w:hAnsi="Arial" w:cs="Arial"/>
                <w:kern w:val="24"/>
                <w:sz w:val="20"/>
                <w:szCs w:val="20"/>
                <w:lang w:eastAsia="en-GB"/>
              </w:rPr>
              <w:t xml:space="preserve">There </w:t>
            </w:r>
            <w:r w:rsidR="00DF2F62">
              <w:rPr>
                <w:rFonts w:ascii="Arial" w:eastAsia="Calibri" w:hAnsi="Arial" w:cs="Arial"/>
                <w:kern w:val="24"/>
                <w:sz w:val="20"/>
                <w:szCs w:val="20"/>
                <w:lang w:eastAsia="en-GB"/>
              </w:rPr>
              <w:t>were in the previous year a</w:t>
            </w:r>
            <w:r w:rsidR="008E7820" w:rsidRPr="002D5B6A">
              <w:rPr>
                <w:rFonts w:ascii="Arial" w:eastAsia="Calibri" w:hAnsi="Arial" w:cs="Arial"/>
                <w:kern w:val="24"/>
                <w:sz w:val="20"/>
                <w:szCs w:val="20"/>
                <w:lang w:eastAsia="en-GB"/>
              </w:rPr>
              <w:t xml:space="preserve"> total </w:t>
            </w:r>
            <w:r w:rsidR="00DF2F62">
              <w:rPr>
                <w:rFonts w:ascii="Arial" w:eastAsia="Calibri" w:hAnsi="Arial" w:cs="Arial"/>
                <w:kern w:val="24"/>
                <w:sz w:val="20"/>
                <w:szCs w:val="20"/>
                <w:lang w:eastAsia="en-GB"/>
              </w:rPr>
              <w:t xml:space="preserve">46 </w:t>
            </w:r>
            <w:r w:rsidR="008E7820" w:rsidRPr="002D5B6A">
              <w:rPr>
                <w:rFonts w:ascii="Arial" w:eastAsia="Calibri" w:hAnsi="Arial" w:cs="Arial"/>
                <w:kern w:val="24"/>
                <w:sz w:val="20"/>
                <w:szCs w:val="20"/>
                <w:lang w:eastAsia="en-GB"/>
              </w:rPr>
              <w:t>ER cases</w:t>
            </w:r>
            <w:r w:rsidR="00DF2F62">
              <w:rPr>
                <w:rFonts w:ascii="Arial" w:eastAsia="Calibri" w:hAnsi="Arial" w:cs="Arial"/>
                <w:kern w:val="24"/>
                <w:sz w:val="20"/>
                <w:szCs w:val="20"/>
                <w:lang w:eastAsia="en-GB"/>
              </w:rPr>
              <w:t>. W</w:t>
            </w:r>
            <w:r w:rsidR="008E7820" w:rsidRPr="002D5B6A">
              <w:rPr>
                <w:rFonts w:ascii="Arial" w:eastAsia="Calibri" w:hAnsi="Arial" w:cs="Arial"/>
                <w:kern w:val="24"/>
                <w:sz w:val="20"/>
                <w:szCs w:val="20"/>
                <w:lang w:eastAsia="en-GB"/>
              </w:rPr>
              <w:t xml:space="preserve">hereas </w:t>
            </w:r>
            <w:r w:rsidR="00032F79">
              <w:rPr>
                <w:rFonts w:ascii="Arial" w:eastAsia="Calibri" w:hAnsi="Arial" w:cs="Arial"/>
                <w:kern w:val="24"/>
                <w:sz w:val="20"/>
                <w:szCs w:val="20"/>
                <w:lang w:eastAsia="en-GB"/>
              </w:rPr>
              <w:t xml:space="preserve">in </w:t>
            </w:r>
            <w:r w:rsidR="008E7820" w:rsidRPr="002D5B6A">
              <w:rPr>
                <w:rFonts w:ascii="Arial" w:eastAsia="Calibri" w:hAnsi="Arial" w:cs="Arial"/>
                <w:kern w:val="24"/>
                <w:sz w:val="20"/>
                <w:szCs w:val="20"/>
                <w:lang w:eastAsia="en-GB"/>
              </w:rPr>
              <w:t xml:space="preserve">2022-2023 </w:t>
            </w:r>
            <w:r w:rsidR="00032F79">
              <w:rPr>
                <w:rFonts w:ascii="Arial" w:eastAsia="Calibri" w:hAnsi="Arial" w:cs="Arial"/>
                <w:kern w:val="24"/>
                <w:sz w:val="20"/>
                <w:szCs w:val="20"/>
                <w:lang w:eastAsia="en-GB"/>
              </w:rPr>
              <w:t xml:space="preserve">there </w:t>
            </w:r>
            <w:r w:rsidR="008E7820" w:rsidRPr="002D5B6A">
              <w:rPr>
                <w:rFonts w:ascii="Arial" w:eastAsia="Calibri" w:hAnsi="Arial" w:cs="Arial"/>
                <w:kern w:val="24"/>
                <w:sz w:val="20"/>
                <w:szCs w:val="20"/>
                <w:lang w:eastAsia="en-GB"/>
              </w:rPr>
              <w:t>was 88 total so an increase of 91%</w:t>
            </w:r>
            <w:r w:rsidR="00DF2F62">
              <w:rPr>
                <w:rFonts w:ascii="Arial" w:eastAsia="Calibri" w:hAnsi="Arial" w:cs="Arial"/>
                <w:kern w:val="24"/>
                <w:sz w:val="20"/>
                <w:szCs w:val="20"/>
                <w:lang w:eastAsia="en-GB"/>
              </w:rPr>
              <w:t>.</w:t>
            </w:r>
            <w:r w:rsidR="008E7820" w:rsidRPr="002D5B6A">
              <w:rPr>
                <w:rFonts w:ascii="Arial" w:eastAsia="Calibri" w:hAnsi="Arial" w:cs="Arial"/>
                <w:kern w:val="24"/>
                <w:sz w:val="20"/>
                <w:szCs w:val="20"/>
                <w:lang w:eastAsia="en-GB"/>
              </w:rPr>
              <w:t xml:space="preserve"> </w:t>
            </w:r>
          </w:p>
          <w:p w14:paraId="4008F2D8" w14:textId="1D400792" w:rsidR="009427DF" w:rsidRPr="009427DF" w:rsidRDefault="00D32A89" w:rsidP="009427DF">
            <w:pPr>
              <w:rPr>
                <w:rFonts w:ascii="Arial" w:eastAsia="Calibri" w:hAnsi="Arial" w:cs="Arial"/>
                <w:kern w:val="24"/>
                <w:sz w:val="20"/>
                <w:szCs w:val="20"/>
                <w:lang w:eastAsia="en-GB"/>
              </w:rPr>
            </w:pPr>
            <w:r w:rsidRPr="000963C1">
              <w:rPr>
                <w:rFonts w:ascii="Arial" w:eastAsia="Calibri" w:hAnsi="Arial" w:cs="Arial"/>
                <w:i/>
                <w:iCs/>
                <w:kern w:val="24"/>
                <w:sz w:val="20"/>
                <w:szCs w:val="20"/>
                <w:lang w:eastAsia="en-GB"/>
              </w:rPr>
              <w:t>N/B</w:t>
            </w:r>
            <w:r w:rsidR="000963C1" w:rsidRPr="000963C1">
              <w:rPr>
                <w:rFonts w:ascii="Arial" w:eastAsia="Calibri" w:hAnsi="Arial" w:cs="Arial"/>
                <w:i/>
                <w:iCs/>
                <w:kern w:val="24"/>
                <w:sz w:val="20"/>
                <w:szCs w:val="20"/>
                <w:lang w:eastAsia="en-GB"/>
              </w:rPr>
              <w:t xml:space="preserve"> – guidance from </w:t>
            </w:r>
            <w:r w:rsidR="00551A1A" w:rsidRPr="000963C1">
              <w:rPr>
                <w:rFonts w:ascii="Arial" w:eastAsia="Calibri" w:hAnsi="Arial" w:cs="Arial"/>
                <w:i/>
                <w:iCs/>
                <w:kern w:val="24"/>
                <w:sz w:val="20"/>
                <w:szCs w:val="20"/>
                <w:lang w:eastAsia="en-GB"/>
              </w:rPr>
              <w:t>NHSE -</w:t>
            </w:r>
            <w:r w:rsidR="000963C1">
              <w:rPr>
                <w:rFonts w:ascii="Arial" w:eastAsia="Calibri" w:hAnsi="Arial" w:cs="Arial"/>
                <w:kern w:val="24"/>
                <w:sz w:val="20"/>
                <w:szCs w:val="20"/>
                <w:lang w:eastAsia="en-GB"/>
              </w:rPr>
              <w:t xml:space="preserve"> </w:t>
            </w:r>
            <w:r w:rsidR="009427DF" w:rsidRPr="009427DF">
              <w:rPr>
                <w:rFonts w:ascii="Arial" w:eastAsia="Calibri" w:hAnsi="Arial" w:cs="Arial"/>
                <w:kern w:val="24"/>
                <w:sz w:val="20"/>
                <w:szCs w:val="20"/>
                <w:lang w:eastAsia="en-GB"/>
              </w:rPr>
              <w:t>With the number of staff members entering the capability being very small for most organisations, it can result in the relative likelihood calculation for metric 3 being very high. Please note:</w:t>
            </w:r>
            <w:r w:rsidR="009427DF" w:rsidRPr="009427DF">
              <w:rPr>
                <w:rFonts w:ascii="Arial" w:eastAsia="Calibri" w:hAnsi="Arial" w:cs="Arial"/>
                <w:kern w:val="24"/>
                <w:sz w:val="20"/>
                <w:szCs w:val="20"/>
                <w:lang w:eastAsia="en-GB"/>
              </w:rPr>
              <w:tab/>
            </w:r>
          </w:p>
          <w:p w14:paraId="335A7435" w14:textId="50E29BF8" w:rsidR="001A3E00" w:rsidRPr="00BF7493" w:rsidRDefault="009427DF" w:rsidP="009427DF">
            <w:pPr>
              <w:rPr>
                <w:rFonts w:ascii="Arial" w:eastAsia="Calibri" w:hAnsi="Arial" w:cs="Arial"/>
                <w:kern w:val="24"/>
                <w:sz w:val="20"/>
                <w:szCs w:val="20"/>
                <w:lang w:eastAsia="en-GB"/>
              </w:rPr>
            </w:pPr>
            <w:r w:rsidRPr="009427DF">
              <w:rPr>
                <w:rFonts w:ascii="Arial" w:eastAsia="Calibri" w:hAnsi="Arial" w:cs="Arial"/>
                <w:kern w:val="24"/>
                <w:sz w:val="20"/>
                <w:szCs w:val="20"/>
                <w:lang w:eastAsia="en-GB"/>
              </w:rPr>
              <w:tab/>
              <w:t>1.</w:t>
            </w:r>
            <w:r w:rsidRPr="009427DF">
              <w:rPr>
                <w:rFonts w:ascii="Arial" w:eastAsia="Calibri" w:hAnsi="Arial" w:cs="Arial"/>
                <w:kern w:val="24"/>
                <w:sz w:val="20"/>
                <w:szCs w:val="20"/>
                <w:lang w:eastAsia="en-GB"/>
              </w:rPr>
              <w:tab/>
            </w:r>
            <w:r w:rsidRPr="000963C1">
              <w:rPr>
                <w:rFonts w:ascii="Arial" w:eastAsia="Calibri" w:hAnsi="Arial" w:cs="Arial"/>
                <w:b/>
                <w:bCs/>
                <w:kern w:val="24"/>
                <w:sz w:val="20"/>
                <w:szCs w:val="20"/>
                <w:lang w:eastAsia="en-GB"/>
              </w:rPr>
              <w:t>A high relative likelihood result (over 1.25</w:t>
            </w:r>
            <w:r w:rsidRPr="009427DF">
              <w:rPr>
                <w:rFonts w:ascii="Arial" w:eastAsia="Calibri" w:hAnsi="Arial" w:cs="Arial"/>
                <w:kern w:val="24"/>
                <w:sz w:val="20"/>
                <w:szCs w:val="20"/>
                <w:lang w:eastAsia="en-GB"/>
              </w:rPr>
              <w:t xml:space="preserve">) does not automatically imply there is a problem with </w:t>
            </w:r>
            <w:r>
              <w:rPr>
                <w:rFonts w:ascii="Arial" w:eastAsia="Calibri" w:hAnsi="Arial" w:cs="Arial"/>
                <w:kern w:val="24"/>
                <w:sz w:val="20"/>
                <w:szCs w:val="20"/>
                <w:lang w:eastAsia="en-GB"/>
              </w:rPr>
              <w:t>BAME</w:t>
            </w:r>
            <w:r w:rsidRPr="009427DF">
              <w:rPr>
                <w:rFonts w:ascii="Arial" w:eastAsia="Calibri" w:hAnsi="Arial" w:cs="Arial"/>
                <w:kern w:val="24"/>
                <w:sz w:val="20"/>
                <w:szCs w:val="20"/>
                <w:lang w:eastAsia="en-GB"/>
              </w:rPr>
              <w:t xml:space="preserve"> staff entering the capability process. Instead of viewing this as a definitive indicator, I suggest it is viewed as an indication as to whether further investigation is required</w:t>
            </w:r>
            <w:r w:rsidRPr="0085442E">
              <w:rPr>
                <w:rFonts w:ascii="Arial" w:eastAsia="Calibri" w:hAnsi="Arial" w:cs="Arial"/>
                <w:b/>
                <w:bCs/>
                <w:kern w:val="24"/>
                <w:sz w:val="20"/>
                <w:szCs w:val="20"/>
                <w:lang w:eastAsia="en-GB"/>
              </w:rPr>
              <w:tab/>
            </w:r>
          </w:p>
        </w:tc>
      </w:tr>
      <w:tr w:rsidR="00F662A1" w:rsidRPr="005916CB" w14:paraId="3E824DDF" w14:textId="77777777" w:rsidTr="00E55176">
        <w:trPr>
          <w:trHeight w:val="416"/>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4DD4D77B" w14:textId="77777777" w:rsidR="00F662A1" w:rsidRDefault="00F662A1"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4258965B" w14:textId="2F34A5B3" w:rsidR="00F662A1" w:rsidRDefault="00A25591" w:rsidP="00CE0366">
            <w:pPr>
              <w:spacing w:line="256" w:lineRule="auto"/>
              <w:rPr>
                <w:rFonts w:ascii="Arial" w:eastAsia="Calibri" w:hAnsi="Arial" w:cs="Arial"/>
                <w:b/>
                <w:bCs/>
                <w:kern w:val="24"/>
                <w:sz w:val="20"/>
                <w:szCs w:val="20"/>
                <w:lang w:eastAsia="en-GB"/>
              </w:rPr>
            </w:pPr>
            <w:r w:rsidRPr="002C6E9D">
              <w:rPr>
                <w:rFonts w:ascii="Arial" w:hAnsi="Arial" w:cs="Arial"/>
                <w:sz w:val="20"/>
                <w:szCs w:val="20"/>
              </w:rPr>
              <w:t xml:space="preserve">Ensure more inclusive </w:t>
            </w:r>
            <w:r>
              <w:rPr>
                <w:rFonts w:ascii="Arial" w:hAnsi="Arial" w:cs="Arial"/>
                <w:sz w:val="20"/>
                <w:szCs w:val="20"/>
              </w:rPr>
              <w:t xml:space="preserve">and debiased ER policies and procedures are in place </w:t>
            </w: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4C9443F4" w14:textId="77777777" w:rsidR="00F662A1" w:rsidRDefault="00F662A1"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Output/ outcomes</w:t>
            </w:r>
          </w:p>
          <w:p w14:paraId="6E94E042" w14:textId="352FC7E5" w:rsidR="00F662A1" w:rsidRDefault="00A25591" w:rsidP="000C7023">
            <w:pPr>
              <w:pStyle w:val="ListParagraph"/>
              <w:numPr>
                <w:ilvl w:val="0"/>
                <w:numId w:val="22"/>
              </w:numPr>
              <w:spacing w:line="256" w:lineRule="auto"/>
              <w:rPr>
                <w:rFonts w:ascii="Arial" w:eastAsia="Calibri" w:hAnsi="Arial" w:cs="Arial"/>
                <w:kern w:val="24"/>
                <w:sz w:val="20"/>
                <w:szCs w:val="20"/>
              </w:rPr>
            </w:pPr>
            <w:r w:rsidRPr="00A25591">
              <w:rPr>
                <w:rFonts w:ascii="Arial" w:eastAsia="Calibri" w:hAnsi="Arial" w:cs="Arial"/>
                <w:kern w:val="24"/>
                <w:sz w:val="20"/>
                <w:szCs w:val="20"/>
              </w:rPr>
              <w:t xml:space="preserve">Staff networks </w:t>
            </w:r>
            <w:r>
              <w:rPr>
                <w:rFonts w:ascii="Arial" w:eastAsia="Calibri" w:hAnsi="Arial" w:cs="Arial"/>
                <w:kern w:val="24"/>
                <w:sz w:val="20"/>
                <w:szCs w:val="20"/>
              </w:rPr>
              <w:t xml:space="preserve">involved in review and co creation of guidance and policy </w:t>
            </w:r>
          </w:p>
          <w:p w14:paraId="6DA30E8B" w14:textId="77777777" w:rsidR="005A4FD8" w:rsidRDefault="005A4FD8" w:rsidP="000C7023">
            <w:pPr>
              <w:pStyle w:val="ListParagraph"/>
              <w:numPr>
                <w:ilvl w:val="0"/>
                <w:numId w:val="22"/>
              </w:numPr>
              <w:spacing w:line="256" w:lineRule="auto"/>
              <w:rPr>
                <w:rFonts w:ascii="Arial" w:eastAsia="Calibri" w:hAnsi="Arial" w:cs="Arial"/>
                <w:kern w:val="24"/>
                <w:sz w:val="20"/>
                <w:szCs w:val="20"/>
              </w:rPr>
            </w:pPr>
            <w:r>
              <w:rPr>
                <w:rFonts w:ascii="Arial" w:eastAsia="Calibri" w:hAnsi="Arial" w:cs="Arial"/>
                <w:kern w:val="24"/>
                <w:sz w:val="20"/>
                <w:szCs w:val="20"/>
              </w:rPr>
              <w:t>Implementation of Kind Life and Respectful resolution</w:t>
            </w:r>
          </w:p>
          <w:p w14:paraId="68ECFFC8" w14:textId="70F4D203" w:rsidR="005A4FD8" w:rsidRDefault="005A4FD8" w:rsidP="000C7023">
            <w:pPr>
              <w:pStyle w:val="ListParagraph"/>
              <w:numPr>
                <w:ilvl w:val="0"/>
                <w:numId w:val="22"/>
              </w:numPr>
              <w:spacing w:line="256" w:lineRule="auto"/>
              <w:rPr>
                <w:rFonts w:ascii="Arial" w:eastAsia="Calibri" w:hAnsi="Arial" w:cs="Arial"/>
                <w:kern w:val="24"/>
                <w:sz w:val="20"/>
                <w:szCs w:val="20"/>
              </w:rPr>
            </w:pPr>
            <w:r>
              <w:rPr>
                <w:rFonts w:ascii="Arial" w:eastAsia="Calibri" w:hAnsi="Arial" w:cs="Arial"/>
                <w:kern w:val="24"/>
                <w:sz w:val="20"/>
                <w:szCs w:val="20"/>
              </w:rPr>
              <w:t>Increased diversity within the bank if internal investigators</w:t>
            </w:r>
          </w:p>
          <w:p w14:paraId="33D6D204" w14:textId="36ACE315" w:rsidR="00F662A1" w:rsidRDefault="008951FC" w:rsidP="000C7023">
            <w:pPr>
              <w:pStyle w:val="ListParagraph"/>
              <w:numPr>
                <w:ilvl w:val="0"/>
                <w:numId w:val="22"/>
              </w:numPr>
              <w:spacing w:line="256" w:lineRule="auto"/>
              <w:rPr>
                <w:rFonts w:ascii="Arial" w:eastAsia="Calibri" w:hAnsi="Arial" w:cs="Arial"/>
                <w:kern w:val="24"/>
                <w:sz w:val="20"/>
                <w:szCs w:val="20"/>
              </w:rPr>
            </w:pPr>
            <w:r w:rsidRPr="008951FC">
              <w:rPr>
                <w:rFonts w:ascii="Arial" w:eastAsia="Calibri" w:hAnsi="Arial" w:cs="Arial"/>
                <w:kern w:val="24"/>
                <w:sz w:val="20"/>
                <w:szCs w:val="20"/>
              </w:rPr>
              <w:t xml:space="preserve">Case reviews with lived experience staff; Ensure people partners review cases </w:t>
            </w:r>
            <w:r>
              <w:rPr>
                <w:rFonts w:ascii="Arial" w:eastAsia="Calibri" w:hAnsi="Arial" w:cs="Arial"/>
                <w:kern w:val="24"/>
                <w:sz w:val="20"/>
                <w:szCs w:val="20"/>
              </w:rPr>
              <w:t>with EDI</w:t>
            </w:r>
            <w:r w:rsidR="00F8764E">
              <w:rPr>
                <w:rFonts w:ascii="Arial" w:eastAsia="Calibri" w:hAnsi="Arial" w:cs="Arial"/>
                <w:kern w:val="24"/>
                <w:sz w:val="20"/>
                <w:szCs w:val="20"/>
              </w:rPr>
              <w:t xml:space="preserve">/ lived experience lens </w:t>
            </w:r>
          </w:p>
          <w:p w14:paraId="226E117F" w14:textId="74E95675" w:rsidR="000C7023" w:rsidRDefault="000C7023" w:rsidP="000C7023">
            <w:pPr>
              <w:pStyle w:val="ListParagraph"/>
              <w:numPr>
                <w:ilvl w:val="0"/>
                <w:numId w:val="22"/>
              </w:numPr>
              <w:rPr>
                <w:rFonts w:ascii="Arial" w:hAnsi="Arial" w:cs="Arial"/>
                <w:sz w:val="20"/>
                <w:szCs w:val="20"/>
              </w:rPr>
            </w:pPr>
            <w:r>
              <w:rPr>
                <w:rFonts w:ascii="Arial" w:hAnsi="Arial" w:cs="Arial"/>
                <w:sz w:val="20"/>
                <w:szCs w:val="20"/>
              </w:rPr>
              <w:t>Lived experience from network when developing policies and EIAs</w:t>
            </w:r>
          </w:p>
          <w:p w14:paraId="50286A6D" w14:textId="23C9C491" w:rsidR="000C7023" w:rsidRPr="000C7023" w:rsidRDefault="00F74240" w:rsidP="000C7023">
            <w:pPr>
              <w:pStyle w:val="ListParagraph"/>
              <w:numPr>
                <w:ilvl w:val="0"/>
                <w:numId w:val="22"/>
              </w:numPr>
              <w:rPr>
                <w:rFonts w:ascii="Arial" w:hAnsi="Arial" w:cs="Arial"/>
                <w:sz w:val="20"/>
                <w:szCs w:val="20"/>
              </w:rPr>
            </w:pPr>
            <w:r>
              <w:rPr>
                <w:rFonts w:ascii="Arial" w:hAnsi="Arial" w:cs="Arial"/>
                <w:sz w:val="20"/>
                <w:szCs w:val="20"/>
              </w:rPr>
              <w:t>Training and development for managers and People partners to ensure ER is free from discrimination and unconscious bias</w:t>
            </w:r>
          </w:p>
          <w:p w14:paraId="384FB1D9" w14:textId="77777777" w:rsidR="00F662A1" w:rsidRDefault="00F662A1" w:rsidP="00CE0366">
            <w:pPr>
              <w:spacing w:line="256" w:lineRule="auto"/>
              <w:rPr>
                <w:rFonts w:ascii="Arial" w:eastAsia="Calibri" w:hAnsi="Arial" w:cs="Arial"/>
                <w:b/>
                <w:bCs/>
                <w:kern w:val="24"/>
                <w:sz w:val="20"/>
                <w:szCs w:val="20"/>
                <w:lang w:eastAsia="en-GB"/>
              </w:rPr>
            </w:pPr>
          </w:p>
          <w:p w14:paraId="6924A95D" w14:textId="36A6CE93" w:rsidR="000C7023" w:rsidRDefault="000C7023" w:rsidP="00CE0366">
            <w:pPr>
              <w:spacing w:line="256" w:lineRule="auto"/>
              <w:rPr>
                <w:rFonts w:ascii="Arial" w:eastAsia="Calibri" w:hAnsi="Arial" w:cs="Arial"/>
                <w:b/>
                <w:bCs/>
                <w:kern w:val="24"/>
                <w:sz w:val="20"/>
                <w:szCs w:val="20"/>
                <w:lang w:eastAsia="en-GB"/>
              </w:rPr>
            </w:pPr>
          </w:p>
        </w:tc>
      </w:tr>
      <w:tr w:rsidR="00FD75DC" w:rsidRPr="00CE0366" w14:paraId="7D0F50A9" w14:textId="0D149E33" w:rsidTr="006330F0">
        <w:trPr>
          <w:trHeight w:val="865"/>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6749A71F"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lastRenderedPageBreak/>
              <w:t>4</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0F9D4CCC" w14:textId="77777777" w:rsidR="00FD75DC" w:rsidRPr="00E55176" w:rsidRDefault="00FD75DC" w:rsidP="00CE0366">
            <w:pPr>
              <w:spacing w:line="256" w:lineRule="auto"/>
              <w:rPr>
                <w:rFonts w:ascii="Arial" w:eastAsia="Calibri" w:hAnsi="Arial" w:cs="Arial"/>
                <w:b/>
                <w:bCs/>
                <w:color w:val="000000" w:themeColor="text1"/>
                <w:kern w:val="24"/>
                <w:sz w:val="20"/>
                <w:szCs w:val="20"/>
                <w:lang w:eastAsia="en-GB"/>
              </w:rPr>
            </w:pPr>
            <w:r w:rsidRPr="00E55176">
              <w:rPr>
                <w:rFonts w:ascii="Arial" w:eastAsia="Calibri" w:hAnsi="Arial" w:cs="Arial"/>
                <w:b/>
                <w:bCs/>
                <w:color w:val="000000" w:themeColor="text1"/>
                <w:kern w:val="24"/>
                <w:sz w:val="20"/>
                <w:szCs w:val="20"/>
                <w:lang w:eastAsia="en-GB"/>
              </w:rPr>
              <w:t>Relative likelihood of white staff accessing non-mandatory training and continuous professional development (CPD) compared to BAME staff</w:t>
            </w:r>
          </w:p>
          <w:p w14:paraId="2097DD3E"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t>Target:</w:t>
            </w:r>
            <w:r w:rsidRPr="00E55176">
              <w:rPr>
                <w:b/>
                <w:bCs/>
                <w:sz w:val="20"/>
                <w:szCs w:val="20"/>
              </w:rPr>
              <w:t xml:space="preserve"> </w:t>
            </w:r>
            <w:r w:rsidRPr="00E55176">
              <w:rPr>
                <w:rFonts w:ascii="Arial" w:hAnsi="Arial" w:cs="Arial"/>
                <w:b/>
                <w:bCs/>
                <w:sz w:val="20"/>
                <w:szCs w:val="20"/>
              </w:rPr>
              <w:t xml:space="preserve">decrease to 1 by July 2022. </w:t>
            </w:r>
            <w:r w:rsidRPr="00E55176">
              <w:rPr>
                <w:rFonts w:ascii="Arial" w:hAnsi="Arial" w:cs="Arial"/>
                <w:b/>
                <w:bCs/>
                <w:i/>
                <w:iCs/>
                <w:sz w:val="20"/>
                <w:szCs w:val="20"/>
              </w:rPr>
              <w:t>(A figure below “1” would indicate that white staff members are less likely to access non-mandatory training and CPD than BME staff.)</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238DBA8" w14:textId="408C42AA" w:rsidR="00FE5510" w:rsidRDefault="00FE5510" w:rsidP="00FE5510">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for Sept 23</w:t>
            </w:r>
            <w:r w:rsidR="006330F0">
              <w:rPr>
                <w:rFonts w:ascii="Arial" w:eastAsia="Calibri" w:hAnsi="Arial" w:cs="Arial"/>
                <w:b/>
                <w:bCs/>
                <w:color w:val="000000" w:themeColor="text1"/>
                <w:kern w:val="24"/>
                <w:sz w:val="20"/>
                <w:szCs w:val="20"/>
                <w:lang w:eastAsia="en-GB"/>
              </w:rPr>
              <w:t>/24</w:t>
            </w:r>
            <w:r>
              <w:rPr>
                <w:rFonts w:ascii="Arial" w:eastAsia="Calibri" w:hAnsi="Arial" w:cs="Arial"/>
                <w:b/>
                <w:bCs/>
                <w:color w:val="000000" w:themeColor="text1"/>
                <w:kern w:val="24"/>
                <w:sz w:val="20"/>
                <w:szCs w:val="20"/>
                <w:lang w:eastAsia="en-GB"/>
              </w:rPr>
              <w:t xml:space="preserve"> </w:t>
            </w:r>
          </w:p>
          <w:p w14:paraId="6B05D215" w14:textId="1C2F46ED" w:rsidR="00FD75DC" w:rsidRPr="00FE5510" w:rsidRDefault="00FE5510" w:rsidP="00CE0366">
            <w:pPr>
              <w:spacing w:line="256" w:lineRule="auto"/>
              <w:rPr>
                <w:rFonts w:ascii="Arial" w:eastAsia="Calibri" w:hAnsi="Arial" w:cs="Arial"/>
                <w:b/>
                <w:bCs/>
                <w:color w:val="000000" w:themeColor="text1"/>
                <w:kern w:val="24"/>
                <w:sz w:val="20"/>
                <w:szCs w:val="20"/>
                <w:lang w:eastAsia="en-GB"/>
              </w:rPr>
            </w:pPr>
            <w:r w:rsidRPr="00FE5510">
              <w:rPr>
                <w:rFonts w:ascii="Arial" w:eastAsia="Calibri" w:hAnsi="Arial" w:cs="Arial"/>
                <w:b/>
                <w:bCs/>
                <w:color w:val="000000" w:themeColor="text1"/>
                <w:kern w:val="24"/>
                <w:sz w:val="20"/>
                <w:szCs w:val="20"/>
                <w:lang w:eastAsia="en-GB"/>
              </w:rPr>
              <w:t>1</w:t>
            </w:r>
          </w:p>
        </w:tc>
      </w:tr>
      <w:tr w:rsidR="00FD75DC" w:rsidRPr="005916CB" w14:paraId="6972F77F" w14:textId="04776FB5" w:rsidTr="00624F9E">
        <w:trPr>
          <w:trHeight w:val="865"/>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4F966BFD" w14:textId="637B027C"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919F3">
              <w:rPr>
                <w:rFonts w:ascii="Arial" w:eastAsia="Calibri" w:hAnsi="Arial" w:cs="Arial"/>
                <w:color w:val="000000" w:themeColor="text1"/>
                <w:kern w:val="24"/>
                <w:sz w:val="20"/>
                <w:szCs w:val="20"/>
                <w:lang w:eastAsia="en-GB"/>
              </w:rPr>
              <w:t>/20</w:t>
            </w:r>
          </w:p>
          <w:p w14:paraId="58B9A7D8"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1.22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6568E8A0" w14:textId="21C26EF5"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919F3">
              <w:rPr>
                <w:rFonts w:ascii="Arial" w:eastAsia="Calibri" w:hAnsi="Arial" w:cs="Arial"/>
                <w:color w:val="000000" w:themeColor="text1"/>
                <w:kern w:val="24"/>
                <w:sz w:val="20"/>
                <w:szCs w:val="20"/>
                <w:lang w:eastAsia="en-GB"/>
              </w:rPr>
              <w:t>/21</w:t>
            </w:r>
          </w:p>
          <w:p w14:paraId="04B13631"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1.02</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1D78B724" w14:textId="3AC8A9DE" w:rsidR="00FD75DC"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919F3">
              <w:rPr>
                <w:rFonts w:ascii="Arial" w:eastAsia="Calibri" w:hAnsi="Arial" w:cs="Arial"/>
                <w:color w:val="000000" w:themeColor="text1"/>
                <w:kern w:val="24"/>
                <w:sz w:val="20"/>
                <w:szCs w:val="20"/>
                <w:lang w:eastAsia="en-GB"/>
              </w:rPr>
              <w:t>/22</w:t>
            </w:r>
          </w:p>
          <w:p w14:paraId="6E666664" w14:textId="3394642C" w:rsidR="00CF0313" w:rsidRPr="004F29B7" w:rsidRDefault="00FD75DC" w:rsidP="00CE0366">
            <w:pPr>
              <w:spacing w:line="256" w:lineRule="auto"/>
              <w:rPr>
                <w:rFonts w:ascii="Arial" w:eastAsia="Calibri" w:hAnsi="Arial" w:cs="Arial"/>
                <w:b/>
                <w:bCs/>
                <w:color w:val="FF0000"/>
                <w:kern w:val="24"/>
                <w:sz w:val="20"/>
                <w:szCs w:val="20"/>
                <w:lang w:eastAsia="en-GB"/>
              </w:rPr>
            </w:pPr>
            <w:r w:rsidRPr="00AF2F32">
              <w:rPr>
                <w:rFonts w:ascii="Arial" w:eastAsia="Calibri" w:hAnsi="Arial" w:cs="Arial"/>
                <w:b/>
                <w:bCs/>
                <w:color w:val="FF0000"/>
                <w:kern w:val="24"/>
                <w:sz w:val="20"/>
                <w:szCs w:val="20"/>
                <w:lang w:eastAsia="en-GB"/>
              </w:rPr>
              <w:t>1.06</w:t>
            </w:r>
          </w:p>
        </w:tc>
        <w:tc>
          <w:tcPr>
            <w:tcW w:w="1615" w:type="dxa"/>
            <w:tcBorders>
              <w:top w:val="single" w:sz="8" w:space="0" w:color="000000"/>
              <w:left w:val="single" w:sz="8" w:space="0" w:color="000000"/>
              <w:bottom w:val="single" w:sz="8" w:space="0" w:color="000000"/>
              <w:right w:val="single" w:sz="8" w:space="0" w:color="000000"/>
            </w:tcBorders>
          </w:tcPr>
          <w:p w14:paraId="1CE72A96" w14:textId="77777777" w:rsidR="00FD75DC" w:rsidRDefault="002819FD" w:rsidP="00CE0366">
            <w:pPr>
              <w:spacing w:line="256" w:lineRule="auto"/>
              <w:rPr>
                <w:rFonts w:ascii="Arial" w:eastAsia="Calibri" w:hAnsi="Arial" w:cs="Arial"/>
                <w:b/>
                <w:bCs/>
                <w:color w:val="000000" w:themeColor="text1"/>
                <w:kern w:val="24"/>
                <w:sz w:val="20"/>
                <w:szCs w:val="20"/>
                <w:lang w:eastAsia="en-GB"/>
              </w:rPr>
            </w:pPr>
            <w:r w:rsidRPr="001B5281">
              <w:rPr>
                <w:rFonts w:ascii="Arial" w:eastAsia="Calibri" w:hAnsi="Arial" w:cs="Arial"/>
                <w:b/>
                <w:bCs/>
                <w:color w:val="000000" w:themeColor="text1"/>
                <w:kern w:val="24"/>
                <w:sz w:val="20"/>
                <w:szCs w:val="20"/>
                <w:lang w:eastAsia="en-GB"/>
              </w:rPr>
              <w:t>2022/23</w:t>
            </w:r>
          </w:p>
          <w:p w14:paraId="75051F2F" w14:textId="72D55DC4" w:rsidR="00197317" w:rsidRPr="005916CB" w:rsidRDefault="00197317" w:rsidP="00CE0366">
            <w:pPr>
              <w:spacing w:line="256" w:lineRule="auto"/>
              <w:rPr>
                <w:rFonts w:ascii="Arial" w:eastAsia="Calibri" w:hAnsi="Arial" w:cs="Arial"/>
                <w:color w:val="000000" w:themeColor="text1"/>
                <w:kern w:val="24"/>
                <w:sz w:val="20"/>
                <w:szCs w:val="20"/>
                <w:lang w:eastAsia="en-GB"/>
              </w:rPr>
            </w:pPr>
            <w:r w:rsidRPr="00C42812">
              <w:rPr>
                <w:rFonts w:ascii="Arial" w:eastAsia="Calibri" w:hAnsi="Arial" w:cs="Arial"/>
                <w:b/>
                <w:bCs/>
                <w:color w:val="70AD47" w:themeColor="accent6"/>
                <w:kern w:val="24"/>
                <w:sz w:val="20"/>
                <w:szCs w:val="20"/>
                <w:lang w:eastAsia="en-GB"/>
              </w:rPr>
              <w:t>0.67</w:t>
            </w:r>
          </w:p>
        </w:tc>
      </w:tr>
      <w:tr w:rsidR="00F871AF" w:rsidRPr="005916CB" w14:paraId="4B7A0E7E" w14:textId="77777777" w:rsidTr="006330F0">
        <w:trPr>
          <w:trHeight w:val="391"/>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10C0118C" w14:textId="77777777" w:rsidR="00F871AF" w:rsidRDefault="00F871AF"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Narrative as of Ma</w:t>
            </w:r>
            <w:r w:rsidR="001B378F">
              <w:rPr>
                <w:rFonts w:ascii="Arial" w:eastAsia="Calibri" w:hAnsi="Arial" w:cs="Arial"/>
                <w:b/>
                <w:bCs/>
                <w:kern w:val="24"/>
                <w:sz w:val="20"/>
                <w:szCs w:val="20"/>
                <w:lang w:eastAsia="en-GB"/>
              </w:rPr>
              <w:t>y</w:t>
            </w:r>
            <w:r>
              <w:rPr>
                <w:rFonts w:ascii="Arial" w:eastAsia="Calibri" w:hAnsi="Arial" w:cs="Arial"/>
                <w:b/>
                <w:bCs/>
                <w:kern w:val="24"/>
                <w:sz w:val="20"/>
                <w:szCs w:val="20"/>
                <w:lang w:eastAsia="en-GB"/>
              </w:rPr>
              <w:t xml:space="preserve"> 202</w:t>
            </w:r>
            <w:r w:rsidR="003B24DE">
              <w:rPr>
                <w:rFonts w:ascii="Arial" w:eastAsia="Calibri" w:hAnsi="Arial" w:cs="Arial"/>
                <w:b/>
                <w:bCs/>
                <w:kern w:val="24"/>
                <w:sz w:val="20"/>
                <w:szCs w:val="20"/>
                <w:lang w:eastAsia="en-GB"/>
              </w:rPr>
              <w:t>2</w:t>
            </w:r>
          </w:p>
          <w:p w14:paraId="75A9AF71" w14:textId="77777777" w:rsidR="001B378F" w:rsidRDefault="00190A5D" w:rsidP="001B378F">
            <w:pPr>
              <w:spacing w:line="256" w:lineRule="auto"/>
              <w:rPr>
                <w:rFonts w:ascii="Arial" w:eastAsia="Calibri" w:hAnsi="Arial" w:cs="Arial"/>
                <w:kern w:val="24"/>
                <w:sz w:val="20"/>
                <w:szCs w:val="20"/>
                <w:lang w:eastAsia="en-GB"/>
              </w:rPr>
            </w:pPr>
            <w:r w:rsidRPr="00190A5D">
              <w:rPr>
                <w:rFonts w:ascii="Arial" w:eastAsia="Calibri" w:hAnsi="Arial" w:cs="Arial"/>
                <w:kern w:val="24"/>
                <w:sz w:val="20"/>
                <w:szCs w:val="20"/>
                <w:lang w:eastAsia="en-GB"/>
              </w:rPr>
              <w:t xml:space="preserve">We </w:t>
            </w:r>
            <w:r>
              <w:rPr>
                <w:rFonts w:ascii="Arial" w:eastAsia="Calibri" w:hAnsi="Arial" w:cs="Arial"/>
                <w:kern w:val="24"/>
                <w:sz w:val="20"/>
                <w:szCs w:val="20"/>
                <w:lang w:eastAsia="en-GB"/>
              </w:rPr>
              <w:t>have been promoting positive action and the ICB as well as Solent have run positive action programmes aimed at minoritized groups of staff.</w:t>
            </w:r>
          </w:p>
          <w:p w14:paraId="4738073A" w14:textId="12698896" w:rsidR="00551A1A" w:rsidRPr="00190A5D" w:rsidRDefault="00551A1A" w:rsidP="001B378F">
            <w:pPr>
              <w:spacing w:line="256" w:lineRule="auto"/>
              <w:rPr>
                <w:rFonts w:ascii="Arial" w:eastAsia="Calibri" w:hAnsi="Arial" w:cs="Arial"/>
                <w:kern w:val="24"/>
                <w:sz w:val="20"/>
                <w:szCs w:val="20"/>
                <w:lang w:eastAsia="en-GB"/>
              </w:rPr>
            </w:pPr>
          </w:p>
        </w:tc>
      </w:tr>
      <w:tr w:rsidR="00E6318E" w:rsidRPr="005916CB" w14:paraId="00583D2F" w14:textId="77777777" w:rsidTr="00E55176">
        <w:trPr>
          <w:trHeight w:val="391"/>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278DA304" w14:textId="77777777" w:rsidR="00E6318E" w:rsidRDefault="00E6318E"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62FB4D5D" w14:textId="5DD3CA6A" w:rsidR="004852A4" w:rsidRDefault="004852A4" w:rsidP="00CE0366">
            <w:pPr>
              <w:spacing w:line="256" w:lineRule="auto"/>
              <w:rPr>
                <w:rFonts w:ascii="Arial" w:eastAsia="Calibri" w:hAnsi="Arial" w:cs="Arial"/>
                <w:b/>
                <w:bCs/>
                <w:kern w:val="24"/>
                <w:sz w:val="20"/>
                <w:szCs w:val="20"/>
                <w:lang w:eastAsia="en-GB"/>
              </w:rPr>
            </w:pPr>
            <w:r w:rsidRPr="002C6E9D">
              <w:rPr>
                <w:rStyle w:val="normaltextrun"/>
                <w:rFonts w:ascii="Arial" w:hAnsi="Arial" w:cs="Arial"/>
                <w:color w:val="000000"/>
                <w:sz w:val="20"/>
                <w:szCs w:val="20"/>
                <w:shd w:val="clear" w:color="auto" w:fill="FFFFFF"/>
              </w:rPr>
              <w:t>Support leadership, development and coaching for colleagues with protected characteristics.</w:t>
            </w:r>
            <w:r w:rsidRPr="002C6E9D">
              <w:rPr>
                <w:rStyle w:val="eop"/>
                <w:rFonts w:ascii="Arial" w:hAnsi="Arial" w:cs="Arial"/>
                <w:color w:val="000000"/>
                <w:sz w:val="20"/>
                <w:szCs w:val="20"/>
                <w:shd w:val="clear" w:color="auto" w:fill="FFFFFF"/>
              </w:rPr>
              <w:t> </w:t>
            </w:r>
          </w:p>
          <w:p w14:paraId="0151B953" w14:textId="10A1BAF2" w:rsidR="0071468B" w:rsidRDefault="0071468B" w:rsidP="00CE0366">
            <w:pPr>
              <w:spacing w:line="256" w:lineRule="auto"/>
              <w:rPr>
                <w:rFonts w:ascii="Arial" w:eastAsia="Calibri" w:hAnsi="Arial" w:cs="Arial"/>
                <w:b/>
                <w:bCs/>
                <w:kern w:val="24"/>
                <w:sz w:val="20"/>
                <w:szCs w:val="20"/>
                <w:lang w:eastAsia="en-GB"/>
              </w:rPr>
            </w:pP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20001AE" w14:textId="77777777" w:rsidR="00E6318E" w:rsidRDefault="00E6318E"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Outcomes and Outputs</w:t>
            </w:r>
          </w:p>
          <w:p w14:paraId="76605FCC" w14:textId="0EC9FF53" w:rsidR="004852A4" w:rsidRPr="00D94C53" w:rsidRDefault="004852A4" w:rsidP="004852A4">
            <w:pPr>
              <w:pStyle w:val="ListParagraph"/>
              <w:numPr>
                <w:ilvl w:val="0"/>
                <w:numId w:val="23"/>
              </w:numPr>
              <w:spacing w:line="256" w:lineRule="auto"/>
              <w:rPr>
                <w:rFonts w:ascii="Arial" w:eastAsia="Calibri" w:hAnsi="Arial" w:cs="Arial"/>
                <w:kern w:val="24"/>
                <w:sz w:val="20"/>
                <w:szCs w:val="20"/>
              </w:rPr>
            </w:pPr>
            <w:r w:rsidRPr="00D94C53">
              <w:rPr>
                <w:rFonts w:ascii="Arial" w:eastAsia="Calibri" w:hAnsi="Arial" w:cs="Arial"/>
                <w:kern w:val="24"/>
                <w:sz w:val="20"/>
                <w:szCs w:val="20"/>
              </w:rPr>
              <w:t xml:space="preserve">Reverse mentoring </w:t>
            </w:r>
            <w:r w:rsidR="005F34E3">
              <w:rPr>
                <w:rFonts w:ascii="Arial" w:eastAsia="Calibri" w:hAnsi="Arial" w:cs="Arial"/>
                <w:kern w:val="24"/>
                <w:sz w:val="20"/>
                <w:szCs w:val="20"/>
              </w:rPr>
              <w:t xml:space="preserve">programme </w:t>
            </w:r>
          </w:p>
          <w:p w14:paraId="7BA326C6" w14:textId="77777777" w:rsidR="004852A4" w:rsidRPr="00287551" w:rsidRDefault="004852A4" w:rsidP="004852A4">
            <w:pPr>
              <w:pStyle w:val="ListParagraph"/>
              <w:numPr>
                <w:ilvl w:val="0"/>
                <w:numId w:val="23"/>
              </w:numPr>
              <w:spacing w:line="256" w:lineRule="auto"/>
              <w:rPr>
                <w:rFonts w:ascii="Arial" w:eastAsia="Calibri" w:hAnsi="Arial" w:cs="Arial"/>
                <w:b/>
                <w:bCs/>
                <w:kern w:val="24"/>
                <w:sz w:val="20"/>
                <w:szCs w:val="20"/>
              </w:rPr>
            </w:pPr>
            <w:r w:rsidRPr="00D94C53">
              <w:rPr>
                <w:rFonts w:ascii="Arial" w:eastAsia="Calibri" w:hAnsi="Arial" w:cs="Arial"/>
                <w:kern w:val="24"/>
                <w:sz w:val="20"/>
                <w:szCs w:val="20"/>
              </w:rPr>
              <w:t>Targeted promotion of positive action programmes such as Rising Tide</w:t>
            </w:r>
          </w:p>
          <w:p w14:paraId="5F3E88A2" w14:textId="77777777" w:rsidR="00287551" w:rsidRPr="00862D0C" w:rsidRDefault="00287551" w:rsidP="004852A4">
            <w:pPr>
              <w:pStyle w:val="ListParagraph"/>
              <w:numPr>
                <w:ilvl w:val="0"/>
                <w:numId w:val="23"/>
              </w:numPr>
              <w:spacing w:line="256" w:lineRule="auto"/>
              <w:rPr>
                <w:rFonts w:ascii="Arial" w:eastAsia="Calibri" w:hAnsi="Arial" w:cs="Arial"/>
                <w:b/>
                <w:bCs/>
                <w:kern w:val="24"/>
                <w:sz w:val="20"/>
                <w:szCs w:val="20"/>
              </w:rPr>
            </w:pPr>
            <w:r>
              <w:rPr>
                <w:rFonts w:ascii="Arial" w:eastAsia="Calibri" w:hAnsi="Arial" w:cs="Arial"/>
                <w:kern w:val="24"/>
                <w:sz w:val="20"/>
                <w:szCs w:val="20"/>
              </w:rPr>
              <w:t xml:space="preserve">Coaching and career conversations for BAME colleagues </w:t>
            </w:r>
          </w:p>
          <w:p w14:paraId="50F1E229" w14:textId="77777777" w:rsidR="00862D0C" w:rsidRDefault="00862D0C" w:rsidP="00862D0C">
            <w:pPr>
              <w:pStyle w:val="ListParagraph"/>
              <w:spacing w:line="256" w:lineRule="auto"/>
              <w:rPr>
                <w:rFonts w:ascii="Arial" w:eastAsia="Calibri" w:hAnsi="Arial" w:cs="Arial"/>
                <w:kern w:val="24"/>
                <w:sz w:val="20"/>
                <w:szCs w:val="20"/>
              </w:rPr>
            </w:pPr>
          </w:p>
          <w:p w14:paraId="024878D1" w14:textId="77777777" w:rsidR="00624F9E" w:rsidRDefault="00624F9E" w:rsidP="00862D0C">
            <w:pPr>
              <w:pStyle w:val="ListParagraph"/>
              <w:spacing w:line="256" w:lineRule="auto"/>
              <w:rPr>
                <w:rFonts w:ascii="Arial" w:eastAsia="Calibri" w:hAnsi="Arial" w:cs="Arial"/>
                <w:kern w:val="24"/>
                <w:sz w:val="20"/>
                <w:szCs w:val="20"/>
              </w:rPr>
            </w:pPr>
          </w:p>
          <w:p w14:paraId="585BB2D0" w14:textId="77777777" w:rsidR="00624F9E" w:rsidRDefault="00624F9E" w:rsidP="00862D0C">
            <w:pPr>
              <w:pStyle w:val="ListParagraph"/>
              <w:spacing w:line="256" w:lineRule="auto"/>
              <w:rPr>
                <w:rFonts w:ascii="Arial" w:eastAsia="Calibri" w:hAnsi="Arial" w:cs="Arial"/>
                <w:kern w:val="24"/>
                <w:sz w:val="20"/>
                <w:szCs w:val="20"/>
              </w:rPr>
            </w:pPr>
          </w:p>
          <w:p w14:paraId="64B3A368" w14:textId="77777777" w:rsidR="00624F9E" w:rsidRDefault="00624F9E" w:rsidP="00862D0C">
            <w:pPr>
              <w:pStyle w:val="ListParagraph"/>
              <w:spacing w:line="256" w:lineRule="auto"/>
              <w:rPr>
                <w:rFonts w:ascii="Arial" w:eastAsia="Calibri" w:hAnsi="Arial" w:cs="Arial"/>
                <w:kern w:val="24"/>
                <w:sz w:val="20"/>
                <w:szCs w:val="20"/>
              </w:rPr>
            </w:pPr>
          </w:p>
          <w:p w14:paraId="7B158AC4" w14:textId="77777777" w:rsidR="00624F9E" w:rsidRDefault="00624F9E" w:rsidP="00862D0C">
            <w:pPr>
              <w:pStyle w:val="ListParagraph"/>
              <w:spacing w:line="256" w:lineRule="auto"/>
              <w:rPr>
                <w:rFonts w:ascii="Arial" w:eastAsia="Calibri" w:hAnsi="Arial" w:cs="Arial"/>
                <w:kern w:val="24"/>
                <w:sz w:val="20"/>
                <w:szCs w:val="20"/>
              </w:rPr>
            </w:pPr>
          </w:p>
          <w:p w14:paraId="4332B24B" w14:textId="77777777" w:rsidR="00624F9E" w:rsidRDefault="00624F9E" w:rsidP="00862D0C">
            <w:pPr>
              <w:pStyle w:val="ListParagraph"/>
              <w:spacing w:line="256" w:lineRule="auto"/>
              <w:rPr>
                <w:rFonts w:ascii="Arial" w:eastAsia="Calibri" w:hAnsi="Arial" w:cs="Arial"/>
                <w:kern w:val="24"/>
                <w:sz w:val="20"/>
                <w:szCs w:val="20"/>
              </w:rPr>
            </w:pPr>
          </w:p>
          <w:p w14:paraId="01787CF1" w14:textId="77777777" w:rsidR="00624F9E" w:rsidRDefault="00624F9E" w:rsidP="00862D0C">
            <w:pPr>
              <w:pStyle w:val="ListParagraph"/>
              <w:spacing w:line="256" w:lineRule="auto"/>
              <w:rPr>
                <w:rFonts w:ascii="Arial" w:eastAsia="Calibri" w:hAnsi="Arial" w:cs="Arial"/>
                <w:kern w:val="24"/>
                <w:sz w:val="20"/>
                <w:szCs w:val="20"/>
              </w:rPr>
            </w:pPr>
          </w:p>
          <w:p w14:paraId="56D32B4C" w14:textId="77777777" w:rsidR="00624F9E" w:rsidRDefault="00624F9E" w:rsidP="00862D0C">
            <w:pPr>
              <w:pStyle w:val="ListParagraph"/>
              <w:spacing w:line="256" w:lineRule="auto"/>
              <w:rPr>
                <w:rFonts w:ascii="Arial" w:eastAsia="Calibri" w:hAnsi="Arial" w:cs="Arial"/>
                <w:kern w:val="24"/>
                <w:sz w:val="20"/>
                <w:szCs w:val="20"/>
              </w:rPr>
            </w:pPr>
          </w:p>
          <w:p w14:paraId="3502AA59" w14:textId="77777777" w:rsidR="00624F9E" w:rsidRDefault="00624F9E" w:rsidP="00862D0C">
            <w:pPr>
              <w:pStyle w:val="ListParagraph"/>
              <w:spacing w:line="256" w:lineRule="auto"/>
              <w:rPr>
                <w:rFonts w:ascii="Arial" w:eastAsia="Calibri" w:hAnsi="Arial" w:cs="Arial"/>
                <w:kern w:val="24"/>
                <w:sz w:val="20"/>
                <w:szCs w:val="20"/>
              </w:rPr>
            </w:pPr>
          </w:p>
          <w:p w14:paraId="3F6800A9" w14:textId="77777777" w:rsidR="00624F9E" w:rsidRDefault="00624F9E" w:rsidP="00862D0C">
            <w:pPr>
              <w:pStyle w:val="ListParagraph"/>
              <w:spacing w:line="256" w:lineRule="auto"/>
              <w:rPr>
                <w:rFonts w:ascii="Arial" w:eastAsia="Calibri" w:hAnsi="Arial" w:cs="Arial"/>
                <w:kern w:val="24"/>
                <w:sz w:val="20"/>
                <w:szCs w:val="20"/>
              </w:rPr>
            </w:pPr>
          </w:p>
          <w:p w14:paraId="356C4FE6" w14:textId="77777777" w:rsidR="00624F9E" w:rsidRDefault="00624F9E" w:rsidP="00862D0C">
            <w:pPr>
              <w:pStyle w:val="ListParagraph"/>
              <w:spacing w:line="256" w:lineRule="auto"/>
              <w:rPr>
                <w:rFonts w:ascii="Arial" w:eastAsia="Calibri" w:hAnsi="Arial" w:cs="Arial"/>
                <w:kern w:val="24"/>
                <w:sz w:val="20"/>
                <w:szCs w:val="20"/>
              </w:rPr>
            </w:pPr>
          </w:p>
          <w:p w14:paraId="5842844C" w14:textId="77777777" w:rsidR="00624F9E" w:rsidRDefault="00624F9E" w:rsidP="00862D0C">
            <w:pPr>
              <w:pStyle w:val="ListParagraph"/>
              <w:spacing w:line="256" w:lineRule="auto"/>
              <w:rPr>
                <w:rFonts w:ascii="Arial" w:eastAsia="Calibri" w:hAnsi="Arial" w:cs="Arial"/>
                <w:kern w:val="24"/>
                <w:sz w:val="20"/>
                <w:szCs w:val="20"/>
              </w:rPr>
            </w:pPr>
          </w:p>
          <w:p w14:paraId="70C18DC6" w14:textId="77777777" w:rsidR="00624F9E" w:rsidRDefault="00624F9E" w:rsidP="00862D0C">
            <w:pPr>
              <w:pStyle w:val="ListParagraph"/>
              <w:spacing w:line="256" w:lineRule="auto"/>
              <w:rPr>
                <w:rFonts w:ascii="Arial" w:eastAsia="Calibri" w:hAnsi="Arial" w:cs="Arial"/>
                <w:kern w:val="24"/>
                <w:sz w:val="20"/>
                <w:szCs w:val="20"/>
              </w:rPr>
            </w:pPr>
          </w:p>
          <w:p w14:paraId="6C11BECA" w14:textId="77777777" w:rsidR="00624F9E" w:rsidRDefault="00624F9E" w:rsidP="00862D0C">
            <w:pPr>
              <w:pStyle w:val="ListParagraph"/>
              <w:spacing w:line="256" w:lineRule="auto"/>
              <w:rPr>
                <w:rFonts w:ascii="Arial" w:eastAsia="Calibri" w:hAnsi="Arial" w:cs="Arial"/>
                <w:kern w:val="24"/>
                <w:sz w:val="20"/>
                <w:szCs w:val="20"/>
              </w:rPr>
            </w:pPr>
          </w:p>
          <w:p w14:paraId="2903581E" w14:textId="4C68D074" w:rsidR="00624F9E" w:rsidRPr="004852A4" w:rsidRDefault="00624F9E" w:rsidP="00862D0C">
            <w:pPr>
              <w:pStyle w:val="ListParagraph"/>
              <w:spacing w:line="256" w:lineRule="auto"/>
              <w:rPr>
                <w:rFonts w:ascii="Arial" w:eastAsia="Calibri" w:hAnsi="Arial" w:cs="Arial"/>
                <w:b/>
                <w:bCs/>
                <w:kern w:val="24"/>
                <w:sz w:val="20"/>
                <w:szCs w:val="20"/>
              </w:rPr>
            </w:pPr>
          </w:p>
        </w:tc>
      </w:tr>
      <w:tr w:rsidR="00FD75DC" w:rsidRPr="00CE0366" w14:paraId="298C094D" w14:textId="35C09FB2" w:rsidTr="006330F0">
        <w:trPr>
          <w:trHeight w:val="416"/>
        </w:trPr>
        <w:tc>
          <w:tcPr>
            <w:tcW w:w="12323" w:type="dxa"/>
            <w:gridSpan w:val="5"/>
            <w:tcBorders>
              <w:top w:val="single" w:sz="8" w:space="0" w:color="000000"/>
              <w:left w:val="single" w:sz="8" w:space="0" w:color="000000"/>
              <w:bottom w:val="single" w:sz="8" w:space="0" w:color="000000"/>
              <w:right w:val="single" w:sz="8" w:space="0" w:color="000000"/>
            </w:tcBorders>
            <w:shd w:val="clear" w:color="auto" w:fill="00B0F0"/>
            <w:tcMar>
              <w:top w:w="15" w:type="dxa"/>
              <w:left w:w="100" w:type="dxa"/>
              <w:bottom w:w="0" w:type="dxa"/>
              <w:right w:w="100" w:type="dxa"/>
            </w:tcMar>
            <w:hideMark/>
          </w:tcPr>
          <w:p w14:paraId="7A8DB600" w14:textId="77777777" w:rsidR="00FD75DC" w:rsidRPr="00CE0366" w:rsidRDefault="00FD75DC" w:rsidP="00CE0366">
            <w:pPr>
              <w:spacing w:line="256" w:lineRule="auto"/>
              <w:rPr>
                <w:rFonts w:ascii="Arial" w:eastAsia="Times New Roman" w:hAnsi="Arial" w:cs="Arial"/>
                <w:b/>
                <w:bCs/>
                <w:sz w:val="20"/>
                <w:szCs w:val="20"/>
                <w:lang w:eastAsia="en-GB"/>
              </w:rPr>
            </w:pPr>
            <w:r w:rsidRPr="00CE0366">
              <w:rPr>
                <w:rFonts w:ascii="Arial" w:eastAsia="Calibri" w:hAnsi="Arial" w:cs="Arial"/>
                <w:b/>
                <w:bCs/>
                <w:color w:val="000000"/>
                <w:kern w:val="24"/>
                <w:sz w:val="20"/>
                <w:szCs w:val="20"/>
                <w:lang w:eastAsia="en-GB"/>
              </w:rPr>
              <w:lastRenderedPageBreak/>
              <w:t>Data from staff survey</w:t>
            </w:r>
          </w:p>
        </w:tc>
        <w:tc>
          <w:tcPr>
            <w:tcW w:w="1615" w:type="dxa"/>
            <w:tcBorders>
              <w:top w:val="single" w:sz="8" w:space="0" w:color="000000"/>
              <w:left w:val="single" w:sz="8" w:space="0" w:color="000000"/>
              <w:bottom w:val="single" w:sz="8" w:space="0" w:color="000000"/>
              <w:right w:val="single" w:sz="8" w:space="0" w:color="000000"/>
            </w:tcBorders>
            <w:shd w:val="clear" w:color="auto" w:fill="00B0F0"/>
          </w:tcPr>
          <w:p w14:paraId="39BB2D2E" w14:textId="77777777" w:rsidR="00FD75DC" w:rsidRPr="00CE0366" w:rsidRDefault="00FD75DC" w:rsidP="00CE0366">
            <w:pPr>
              <w:spacing w:line="256" w:lineRule="auto"/>
              <w:rPr>
                <w:rFonts w:ascii="Arial" w:eastAsia="Calibri" w:hAnsi="Arial" w:cs="Arial"/>
                <w:b/>
                <w:bCs/>
                <w:color w:val="000000"/>
                <w:kern w:val="24"/>
                <w:sz w:val="20"/>
                <w:szCs w:val="20"/>
                <w:lang w:eastAsia="en-GB"/>
              </w:rPr>
            </w:pPr>
          </w:p>
        </w:tc>
      </w:tr>
      <w:tr w:rsidR="00FD75DC" w:rsidRPr="00CE0366" w14:paraId="731AEAF1" w14:textId="0AE7067A" w:rsidTr="006330F0">
        <w:trPr>
          <w:trHeight w:val="865"/>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7C4D86A4"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t>5</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45334035" w14:textId="77777777" w:rsidR="00FD75DC" w:rsidRPr="00E55176" w:rsidRDefault="00FD75DC" w:rsidP="00CE0366">
            <w:pPr>
              <w:spacing w:line="256" w:lineRule="auto"/>
              <w:rPr>
                <w:rFonts w:ascii="Arial" w:eastAsia="Calibri" w:hAnsi="Arial" w:cs="Arial"/>
                <w:b/>
                <w:bCs/>
                <w:color w:val="000000" w:themeColor="text1"/>
                <w:kern w:val="24"/>
                <w:sz w:val="20"/>
                <w:szCs w:val="20"/>
                <w:lang w:eastAsia="en-GB"/>
              </w:rPr>
            </w:pPr>
            <w:r w:rsidRPr="00E55176">
              <w:rPr>
                <w:rFonts w:ascii="Arial" w:eastAsia="Calibri" w:hAnsi="Arial" w:cs="Arial"/>
                <w:b/>
                <w:bCs/>
                <w:color w:val="000000" w:themeColor="text1"/>
                <w:kern w:val="24"/>
                <w:sz w:val="20"/>
                <w:szCs w:val="20"/>
                <w:lang w:eastAsia="en-GB"/>
              </w:rPr>
              <w:t>Percentage of staff experiencing harassment, bullying or abuse from patients, relatives, or the public in last 12 months</w:t>
            </w:r>
          </w:p>
          <w:p w14:paraId="5A330A31"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t xml:space="preserve">Target: Decrease percentage </w:t>
            </w:r>
            <w:r w:rsidRPr="00E55176">
              <w:rPr>
                <w:rFonts w:ascii="Arial" w:eastAsia="Calibri" w:hAnsi="Arial" w:cs="Arial"/>
                <w:b/>
                <w:bCs/>
                <w:color w:val="70AD47" w:themeColor="accent6"/>
                <w:kern w:val="24"/>
                <w:sz w:val="20"/>
                <w:szCs w:val="20"/>
                <w:lang w:eastAsia="en-GB"/>
              </w:rPr>
              <w:t>to below 20% by September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35F6724" w14:textId="14DE226C" w:rsidR="00314292" w:rsidRDefault="00314292" w:rsidP="00314292">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for Sept 23</w:t>
            </w:r>
            <w:r w:rsidR="006330F0">
              <w:rPr>
                <w:rFonts w:ascii="Arial" w:eastAsia="Calibri" w:hAnsi="Arial" w:cs="Arial"/>
                <w:b/>
                <w:bCs/>
                <w:color w:val="000000" w:themeColor="text1"/>
                <w:kern w:val="24"/>
                <w:sz w:val="20"/>
                <w:szCs w:val="20"/>
                <w:lang w:eastAsia="en-GB"/>
              </w:rPr>
              <w:t>/24</w:t>
            </w:r>
            <w:r>
              <w:rPr>
                <w:rFonts w:ascii="Arial" w:eastAsia="Calibri" w:hAnsi="Arial" w:cs="Arial"/>
                <w:b/>
                <w:bCs/>
                <w:color w:val="000000" w:themeColor="text1"/>
                <w:kern w:val="24"/>
                <w:sz w:val="20"/>
                <w:szCs w:val="20"/>
                <w:lang w:eastAsia="en-GB"/>
              </w:rPr>
              <w:t xml:space="preserve"> </w:t>
            </w:r>
          </w:p>
          <w:p w14:paraId="5BF036AF" w14:textId="60DC8799" w:rsidR="00252DCA" w:rsidRPr="00314292" w:rsidRDefault="00314292" w:rsidP="004646FF">
            <w:pPr>
              <w:spacing w:line="256" w:lineRule="auto"/>
              <w:rPr>
                <w:rFonts w:ascii="Arial" w:eastAsia="Calibri" w:hAnsi="Arial" w:cs="Arial"/>
                <w:b/>
                <w:bCs/>
                <w:color w:val="000000" w:themeColor="text1"/>
                <w:kern w:val="24"/>
                <w:sz w:val="20"/>
                <w:szCs w:val="20"/>
                <w:lang w:eastAsia="en-GB"/>
              </w:rPr>
            </w:pPr>
            <w:r w:rsidRPr="00314292">
              <w:rPr>
                <w:rFonts w:ascii="Arial" w:eastAsia="Calibri" w:hAnsi="Arial" w:cs="Arial"/>
                <w:b/>
                <w:bCs/>
                <w:color w:val="000000" w:themeColor="text1"/>
                <w:kern w:val="24"/>
                <w:sz w:val="20"/>
                <w:szCs w:val="20"/>
                <w:lang w:eastAsia="en-GB"/>
              </w:rPr>
              <w:t>-20%</w:t>
            </w:r>
          </w:p>
        </w:tc>
      </w:tr>
      <w:tr w:rsidR="00FD75DC" w:rsidRPr="005916CB" w14:paraId="787029D7" w14:textId="7CEF4F75" w:rsidTr="00624F9E">
        <w:trPr>
          <w:trHeight w:val="865"/>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6AB40407" w14:textId="7B11AC95"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919F3">
              <w:rPr>
                <w:rFonts w:ascii="Arial" w:eastAsia="Calibri" w:hAnsi="Arial" w:cs="Arial"/>
                <w:color w:val="000000" w:themeColor="text1"/>
                <w:kern w:val="24"/>
                <w:sz w:val="20"/>
                <w:szCs w:val="20"/>
                <w:lang w:eastAsia="en-GB"/>
              </w:rPr>
              <w:t>/20</w:t>
            </w:r>
          </w:p>
          <w:p w14:paraId="170B70B7"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25.5%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2CEFCCBC" w14:textId="440AFB74"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919F3">
              <w:rPr>
                <w:rFonts w:ascii="Arial" w:eastAsia="Calibri" w:hAnsi="Arial" w:cs="Arial"/>
                <w:color w:val="000000" w:themeColor="text1"/>
                <w:kern w:val="24"/>
                <w:sz w:val="20"/>
                <w:szCs w:val="20"/>
                <w:lang w:eastAsia="en-GB"/>
              </w:rPr>
              <w:t>/21</w:t>
            </w:r>
          </w:p>
          <w:p w14:paraId="068E213E"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24.3%</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159DEBF1" w14:textId="1ABFBBA2"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919F3">
              <w:rPr>
                <w:rFonts w:ascii="Arial" w:eastAsia="Calibri" w:hAnsi="Arial" w:cs="Arial"/>
                <w:color w:val="000000" w:themeColor="text1"/>
                <w:kern w:val="24"/>
                <w:sz w:val="20"/>
                <w:szCs w:val="20"/>
                <w:lang w:eastAsia="en-GB"/>
              </w:rPr>
              <w:t>/22</w:t>
            </w:r>
          </w:p>
          <w:p w14:paraId="20E47BDA" w14:textId="0192F0BA" w:rsidR="00FD75DC" w:rsidRPr="004F29B7" w:rsidRDefault="00FD75DC" w:rsidP="00CE0366">
            <w:pPr>
              <w:spacing w:line="256" w:lineRule="auto"/>
              <w:rPr>
                <w:rFonts w:ascii="Arial" w:eastAsia="Calibri" w:hAnsi="Arial" w:cs="Arial"/>
                <w:b/>
                <w:bCs/>
                <w:color w:val="70AD47" w:themeColor="accent6"/>
                <w:kern w:val="24"/>
                <w:sz w:val="20"/>
                <w:szCs w:val="20"/>
                <w:lang w:eastAsia="en-GB"/>
              </w:rPr>
            </w:pPr>
            <w:r w:rsidRPr="00CD15F2">
              <w:rPr>
                <w:rFonts w:ascii="Arial" w:eastAsia="Calibri" w:hAnsi="Arial" w:cs="Arial"/>
                <w:b/>
                <w:bCs/>
                <w:color w:val="70AD47" w:themeColor="accent6"/>
                <w:kern w:val="24"/>
                <w:sz w:val="20"/>
                <w:szCs w:val="20"/>
                <w:lang w:eastAsia="en-GB"/>
              </w:rPr>
              <w:t>18.7%</w:t>
            </w:r>
          </w:p>
        </w:tc>
        <w:tc>
          <w:tcPr>
            <w:tcW w:w="1615" w:type="dxa"/>
            <w:tcBorders>
              <w:top w:val="single" w:sz="8" w:space="0" w:color="000000"/>
              <w:left w:val="single" w:sz="8" w:space="0" w:color="000000"/>
              <w:bottom w:val="single" w:sz="8" w:space="0" w:color="000000"/>
              <w:right w:val="single" w:sz="8" w:space="0" w:color="000000"/>
            </w:tcBorders>
          </w:tcPr>
          <w:p w14:paraId="0B0D2647" w14:textId="5D510C85" w:rsidR="004646FF" w:rsidRPr="001F28AB" w:rsidRDefault="004646FF" w:rsidP="004646FF">
            <w:pPr>
              <w:spacing w:line="256" w:lineRule="auto"/>
              <w:rPr>
                <w:rFonts w:ascii="Arial" w:eastAsia="Calibri" w:hAnsi="Arial" w:cs="Arial"/>
                <w:b/>
                <w:bCs/>
                <w:kern w:val="24"/>
                <w:sz w:val="20"/>
                <w:szCs w:val="20"/>
                <w:lang w:eastAsia="en-GB"/>
              </w:rPr>
            </w:pPr>
            <w:r w:rsidRPr="001F28AB">
              <w:rPr>
                <w:rFonts w:ascii="Arial" w:eastAsia="Calibri" w:hAnsi="Arial" w:cs="Arial"/>
                <w:b/>
                <w:bCs/>
                <w:kern w:val="24"/>
                <w:sz w:val="20"/>
                <w:szCs w:val="20"/>
                <w:lang w:eastAsia="en-GB"/>
              </w:rPr>
              <w:t xml:space="preserve">2022 </w:t>
            </w:r>
            <w:r w:rsidR="001B5281" w:rsidRPr="001F28AB">
              <w:rPr>
                <w:rFonts w:ascii="Arial" w:eastAsia="Calibri" w:hAnsi="Arial" w:cs="Arial"/>
                <w:b/>
                <w:bCs/>
                <w:kern w:val="24"/>
                <w:sz w:val="20"/>
                <w:szCs w:val="20"/>
                <w:lang w:eastAsia="en-GB"/>
              </w:rPr>
              <w:t>/23</w:t>
            </w:r>
          </w:p>
          <w:p w14:paraId="03C835B7" w14:textId="0DDBEDF9" w:rsidR="00267CE7" w:rsidRPr="004F29B7" w:rsidRDefault="004646FF" w:rsidP="00CE0366">
            <w:pPr>
              <w:spacing w:line="256" w:lineRule="auto"/>
              <w:rPr>
                <w:rFonts w:ascii="Arial" w:eastAsia="Calibri" w:hAnsi="Arial" w:cs="Arial"/>
                <w:b/>
                <w:bCs/>
                <w:color w:val="ED7D31" w:themeColor="accent2"/>
                <w:kern w:val="24"/>
                <w:sz w:val="20"/>
                <w:szCs w:val="20"/>
                <w:lang w:eastAsia="en-GB"/>
              </w:rPr>
            </w:pPr>
            <w:r w:rsidRPr="003B24DE">
              <w:rPr>
                <w:rFonts w:ascii="Arial" w:eastAsia="Calibri" w:hAnsi="Arial" w:cs="Arial"/>
                <w:b/>
                <w:bCs/>
                <w:color w:val="ED7D31" w:themeColor="accent2"/>
                <w:kern w:val="24"/>
                <w:sz w:val="20"/>
                <w:szCs w:val="20"/>
                <w:lang w:eastAsia="en-GB"/>
              </w:rPr>
              <w:t>19.1%</w:t>
            </w:r>
          </w:p>
        </w:tc>
      </w:tr>
      <w:tr w:rsidR="002D0F67" w:rsidRPr="005916CB" w14:paraId="15D3FC10" w14:textId="77777777" w:rsidTr="004A38C9">
        <w:trPr>
          <w:trHeight w:val="865"/>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546BE1C0" w14:textId="77777777" w:rsidR="002D0F67" w:rsidRPr="002D0F67" w:rsidRDefault="002D0F67" w:rsidP="002D0F67">
            <w:pPr>
              <w:spacing w:line="256" w:lineRule="auto"/>
              <w:rPr>
                <w:rFonts w:ascii="Arial" w:eastAsia="Calibri" w:hAnsi="Arial" w:cs="Arial"/>
                <w:b/>
                <w:bCs/>
                <w:kern w:val="24"/>
                <w:sz w:val="20"/>
                <w:szCs w:val="20"/>
                <w:lang w:eastAsia="en-GB"/>
              </w:rPr>
            </w:pPr>
            <w:r w:rsidRPr="002D0F67">
              <w:rPr>
                <w:rFonts w:ascii="Arial" w:eastAsia="Calibri" w:hAnsi="Arial" w:cs="Arial"/>
                <w:b/>
                <w:bCs/>
                <w:kern w:val="24"/>
                <w:sz w:val="20"/>
                <w:szCs w:val="20"/>
                <w:lang w:eastAsia="en-GB"/>
              </w:rPr>
              <w:t>Narrative as of May 2023</w:t>
            </w:r>
          </w:p>
          <w:p w14:paraId="49C05924" w14:textId="77777777" w:rsidR="002D0F67" w:rsidRPr="002D0F67" w:rsidRDefault="002D0F67" w:rsidP="002D0F67">
            <w:pPr>
              <w:spacing w:line="256" w:lineRule="auto"/>
              <w:rPr>
                <w:rFonts w:ascii="Arial" w:eastAsia="Calibri" w:hAnsi="Arial" w:cs="Arial"/>
                <w:kern w:val="24"/>
                <w:sz w:val="20"/>
                <w:szCs w:val="20"/>
                <w:lang w:eastAsia="en-GB"/>
              </w:rPr>
            </w:pPr>
            <w:r w:rsidRPr="002D0F67">
              <w:rPr>
                <w:rFonts w:ascii="Arial" w:eastAsia="Calibri" w:hAnsi="Arial" w:cs="Arial"/>
                <w:kern w:val="24"/>
                <w:sz w:val="20"/>
                <w:szCs w:val="20"/>
                <w:lang w:eastAsia="en-GB"/>
              </w:rPr>
              <w:t xml:space="preserve">There has been an increase of 0.4% of colleagues experiencing harassment, bullying or abuse from patients, relatives, or the public in last 12 months. </w:t>
            </w:r>
          </w:p>
          <w:p w14:paraId="7328A479" w14:textId="77777777" w:rsidR="002D0F67" w:rsidRPr="002D0F67" w:rsidRDefault="002D0F67" w:rsidP="002D0F67">
            <w:pPr>
              <w:spacing w:line="256" w:lineRule="auto"/>
              <w:rPr>
                <w:rFonts w:ascii="Arial" w:eastAsia="Calibri" w:hAnsi="Arial" w:cs="Arial"/>
                <w:kern w:val="24"/>
                <w:sz w:val="20"/>
                <w:szCs w:val="20"/>
                <w:lang w:eastAsia="en-GB"/>
              </w:rPr>
            </w:pPr>
            <w:r w:rsidRPr="002D0F67">
              <w:rPr>
                <w:rFonts w:ascii="Arial" w:eastAsia="Calibri" w:hAnsi="Arial" w:cs="Arial"/>
                <w:kern w:val="24"/>
                <w:sz w:val="20"/>
                <w:szCs w:val="20"/>
                <w:lang w:eastAsia="en-GB"/>
              </w:rPr>
              <w:t>This is significantly still better than the average median benchmark which this year is 31.5%.</w:t>
            </w:r>
          </w:p>
          <w:p w14:paraId="793AB375" w14:textId="77777777" w:rsidR="002D0F67" w:rsidRPr="002D0F67" w:rsidRDefault="002D0F67" w:rsidP="002D0F67">
            <w:pPr>
              <w:spacing w:line="256" w:lineRule="auto"/>
              <w:rPr>
                <w:rFonts w:ascii="Arial" w:eastAsia="Calibri" w:hAnsi="Arial" w:cs="Arial"/>
                <w:kern w:val="24"/>
                <w:sz w:val="20"/>
                <w:szCs w:val="20"/>
                <w:lang w:eastAsia="en-GB"/>
              </w:rPr>
            </w:pPr>
            <w:r w:rsidRPr="002D0F67">
              <w:rPr>
                <w:rFonts w:ascii="Arial" w:eastAsia="Calibri" w:hAnsi="Arial" w:cs="Arial"/>
                <w:kern w:val="24"/>
                <w:sz w:val="20"/>
                <w:szCs w:val="20"/>
                <w:lang w:eastAsia="en-GB"/>
              </w:rPr>
              <w:t>This year we also had an increase of 32 responses from 214 to 246 form colleagues from other ethnic groups than those identify as white.</w:t>
            </w:r>
          </w:p>
          <w:p w14:paraId="228650BC" w14:textId="5C03994C" w:rsidR="002D0F67" w:rsidRPr="001F28AB" w:rsidRDefault="002D0F67" w:rsidP="002D0F67">
            <w:pPr>
              <w:spacing w:line="256" w:lineRule="auto"/>
              <w:rPr>
                <w:rFonts w:ascii="Arial" w:eastAsia="Calibri" w:hAnsi="Arial" w:cs="Arial"/>
                <w:b/>
                <w:bCs/>
                <w:kern w:val="24"/>
                <w:sz w:val="20"/>
                <w:szCs w:val="20"/>
                <w:lang w:eastAsia="en-GB"/>
              </w:rPr>
            </w:pPr>
            <w:r w:rsidRPr="002D0F67">
              <w:rPr>
                <w:rFonts w:ascii="Arial" w:eastAsia="Calibri" w:hAnsi="Arial" w:cs="Arial"/>
                <w:kern w:val="24"/>
                <w:sz w:val="20"/>
                <w:szCs w:val="20"/>
                <w:lang w:eastAsia="en-GB"/>
              </w:rPr>
              <w:t>This slight increase does not come as a surprise as colleagues are reporting through staff networks, FTSU and other staff voice mechanisms that the public are showing less tolerance and more unpleasant and harassing behaviour since the height of the pandemic. We are developing a workshop to support colleagues to address this – ‘when does patient choice become discrimination’ and, we have implemented a new 3 step hate crime reporting process. This will remain an area of action in the 23/24 EDIB action plan.</w:t>
            </w:r>
          </w:p>
        </w:tc>
      </w:tr>
      <w:tr w:rsidR="005F34E3" w:rsidRPr="005916CB" w14:paraId="7F0CAAB1" w14:textId="77777777" w:rsidTr="00E55176">
        <w:trPr>
          <w:trHeight w:val="865"/>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2D6EBEFF" w14:textId="77777777" w:rsidR="005F34E3" w:rsidRDefault="005F34E3" w:rsidP="004646FF">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Action</w:t>
            </w:r>
          </w:p>
          <w:p w14:paraId="1F90F6AE" w14:textId="00921CB0" w:rsidR="008F5D67" w:rsidRPr="008F5D67" w:rsidRDefault="008F5D67" w:rsidP="004646FF">
            <w:pPr>
              <w:spacing w:line="256" w:lineRule="auto"/>
              <w:rPr>
                <w:rFonts w:ascii="Arial" w:eastAsia="Calibri" w:hAnsi="Arial" w:cs="Arial"/>
                <w:kern w:val="24"/>
                <w:sz w:val="20"/>
                <w:szCs w:val="20"/>
                <w:lang w:eastAsia="en-GB"/>
              </w:rPr>
            </w:pPr>
            <w:r>
              <w:rPr>
                <w:rFonts w:ascii="Arial" w:eastAsia="Calibri" w:hAnsi="Arial" w:cs="Arial"/>
                <w:kern w:val="24"/>
                <w:sz w:val="20"/>
                <w:szCs w:val="20"/>
                <w:lang w:eastAsia="en-GB"/>
              </w:rPr>
              <w:t>Develop s</w:t>
            </w:r>
            <w:r w:rsidRPr="008F5D67">
              <w:rPr>
                <w:rFonts w:ascii="Arial" w:eastAsia="Calibri" w:hAnsi="Arial" w:cs="Arial"/>
                <w:kern w:val="24"/>
                <w:sz w:val="20"/>
                <w:szCs w:val="20"/>
                <w:lang w:eastAsia="en-GB"/>
              </w:rPr>
              <w:t xml:space="preserve">upport guidance and training </w:t>
            </w:r>
            <w:r w:rsidR="00015C07">
              <w:rPr>
                <w:rFonts w:ascii="Arial" w:eastAsia="Calibri" w:hAnsi="Arial" w:cs="Arial"/>
                <w:kern w:val="24"/>
                <w:sz w:val="20"/>
                <w:szCs w:val="20"/>
                <w:lang w:eastAsia="en-GB"/>
              </w:rPr>
              <w:t xml:space="preserve">to tackle discrimination and report hate </w:t>
            </w:r>
            <w:r w:rsidR="000F54BB">
              <w:rPr>
                <w:rFonts w:ascii="Arial" w:eastAsia="Calibri" w:hAnsi="Arial" w:cs="Arial"/>
                <w:kern w:val="24"/>
                <w:sz w:val="20"/>
                <w:szCs w:val="20"/>
                <w:lang w:eastAsia="en-GB"/>
              </w:rPr>
              <w:t>crime.</w:t>
            </w:r>
            <w:r w:rsidR="00015C07">
              <w:rPr>
                <w:rFonts w:ascii="Arial" w:eastAsia="Calibri" w:hAnsi="Arial" w:cs="Arial"/>
                <w:kern w:val="24"/>
                <w:sz w:val="20"/>
                <w:szCs w:val="20"/>
                <w:lang w:eastAsia="en-GB"/>
              </w:rPr>
              <w:t xml:space="preserve"> </w:t>
            </w:r>
          </w:p>
          <w:p w14:paraId="0D144E4F" w14:textId="7654C74D" w:rsidR="005F34E3" w:rsidRPr="001F28AB" w:rsidRDefault="005F34E3" w:rsidP="004646FF">
            <w:pPr>
              <w:spacing w:line="256" w:lineRule="auto"/>
              <w:rPr>
                <w:rFonts w:ascii="Arial" w:eastAsia="Calibri" w:hAnsi="Arial" w:cs="Arial"/>
                <w:b/>
                <w:bCs/>
                <w:kern w:val="24"/>
                <w:sz w:val="20"/>
                <w:szCs w:val="20"/>
                <w:lang w:eastAsia="en-GB"/>
              </w:rPr>
            </w:pP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6770E86A" w14:textId="77777777" w:rsidR="005F34E3" w:rsidRDefault="005F34E3" w:rsidP="005F34E3">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Outcomes and Outputs</w:t>
            </w:r>
          </w:p>
          <w:p w14:paraId="0AC8936D" w14:textId="60994BB8" w:rsidR="005F34E3" w:rsidRDefault="00015C07" w:rsidP="00015C07">
            <w:pPr>
              <w:pStyle w:val="ListParagraph"/>
              <w:numPr>
                <w:ilvl w:val="0"/>
                <w:numId w:val="24"/>
              </w:numPr>
              <w:spacing w:line="256" w:lineRule="auto"/>
              <w:rPr>
                <w:rFonts w:ascii="Arial" w:eastAsia="Calibri" w:hAnsi="Arial" w:cs="Arial"/>
                <w:kern w:val="24"/>
                <w:sz w:val="20"/>
                <w:szCs w:val="20"/>
              </w:rPr>
            </w:pPr>
            <w:r w:rsidRPr="00015C07">
              <w:rPr>
                <w:rFonts w:ascii="Arial" w:eastAsia="Calibri" w:hAnsi="Arial" w:cs="Arial"/>
                <w:kern w:val="24"/>
                <w:sz w:val="20"/>
                <w:szCs w:val="20"/>
              </w:rPr>
              <w:t>Roll</w:t>
            </w:r>
            <w:r>
              <w:rPr>
                <w:rFonts w:ascii="Arial" w:eastAsia="Calibri" w:hAnsi="Arial" w:cs="Arial"/>
                <w:kern w:val="24"/>
                <w:sz w:val="20"/>
                <w:szCs w:val="20"/>
              </w:rPr>
              <w:t xml:space="preserve"> out of #HateHurts campaign and promotion of </w:t>
            </w:r>
            <w:r w:rsidR="000F54BB">
              <w:rPr>
                <w:rFonts w:ascii="Arial" w:eastAsia="Calibri" w:hAnsi="Arial" w:cs="Arial"/>
                <w:kern w:val="24"/>
                <w:sz w:val="20"/>
                <w:szCs w:val="20"/>
              </w:rPr>
              <w:t xml:space="preserve">hate crime reporting and victim support </w:t>
            </w:r>
          </w:p>
          <w:p w14:paraId="1A423758" w14:textId="77777777" w:rsidR="000F54BB" w:rsidRDefault="000F54BB" w:rsidP="00015C07">
            <w:pPr>
              <w:pStyle w:val="ListParagraph"/>
              <w:numPr>
                <w:ilvl w:val="0"/>
                <w:numId w:val="24"/>
              </w:numPr>
              <w:spacing w:line="256" w:lineRule="auto"/>
              <w:rPr>
                <w:rFonts w:ascii="Arial" w:eastAsia="Calibri" w:hAnsi="Arial" w:cs="Arial"/>
                <w:kern w:val="24"/>
                <w:sz w:val="20"/>
                <w:szCs w:val="20"/>
              </w:rPr>
            </w:pPr>
            <w:r>
              <w:rPr>
                <w:rFonts w:ascii="Arial" w:eastAsia="Calibri" w:hAnsi="Arial" w:cs="Arial"/>
                <w:kern w:val="24"/>
                <w:sz w:val="20"/>
                <w:szCs w:val="20"/>
              </w:rPr>
              <w:t>Development and delivery of workshop ‘when does patient choice become discrimination’.</w:t>
            </w:r>
          </w:p>
          <w:p w14:paraId="1E4E2B4E" w14:textId="77777777" w:rsidR="00624F9E" w:rsidRDefault="00624F9E" w:rsidP="00624F9E">
            <w:pPr>
              <w:spacing w:line="256" w:lineRule="auto"/>
              <w:rPr>
                <w:rFonts w:ascii="Arial" w:eastAsia="Calibri" w:hAnsi="Arial" w:cs="Arial"/>
                <w:kern w:val="24"/>
                <w:sz w:val="20"/>
                <w:szCs w:val="20"/>
              </w:rPr>
            </w:pPr>
          </w:p>
          <w:p w14:paraId="27E156D9" w14:textId="77777777" w:rsidR="00624F9E" w:rsidRDefault="00624F9E" w:rsidP="00624F9E">
            <w:pPr>
              <w:spacing w:line="256" w:lineRule="auto"/>
              <w:rPr>
                <w:rFonts w:ascii="Arial" w:eastAsia="Calibri" w:hAnsi="Arial" w:cs="Arial"/>
                <w:kern w:val="24"/>
                <w:sz w:val="20"/>
                <w:szCs w:val="20"/>
              </w:rPr>
            </w:pPr>
          </w:p>
          <w:p w14:paraId="0B14BA46" w14:textId="77777777" w:rsidR="00624F9E" w:rsidRDefault="00624F9E" w:rsidP="00624F9E">
            <w:pPr>
              <w:spacing w:line="256" w:lineRule="auto"/>
              <w:rPr>
                <w:rFonts w:ascii="Arial" w:eastAsia="Calibri" w:hAnsi="Arial" w:cs="Arial"/>
                <w:kern w:val="24"/>
                <w:sz w:val="20"/>
                <w:szCs w:val="20"/>
              </w:rPr>
            </w:pPr>
          </w:p>
          <w:p w14:paraId="2C62184A" w14:textId="77777777" w:rsidR="00624F9E" w:rsidRDefault="00624F9E" w:rsidP="00624F9E">
            <w:pPr>
              <w:spacing w:line="256" w:lineRule="auto"/>
              <w:rPr>
                <w:rFonts w:ascii="Arial" w:eastAsia="Calibri" w:hAnsi="Arial" w:cs="Arial"/>
                <w:kern w:val="24"/>
                <w:sz w:val="20"/>
                <w:szCs w:val="20"/>
              </w:rPr>
            </w:pPr>
          </w:p>
          <w:p w14:paraId="1F50EFCF" w14:textId="4A4A8F05" w:rsidR="00624F9E" w:rsidRPr="00624F9E" w:rsidRDefault="00624F9E" w:rsidP="00624F9E">
            <w:pPr>
              <w:spacing w:line="256" w:lineRule="auto"/>
              <w:rPr>
                <w:rFonts w:ascii="Arial" w:eastAsia="Calibri" w:hAnsi="Arial" w:cs="Arial"/>
                <w:kern w:val="24"/>
                <w:sz w:val="20"/>
                <w:szCs w:val="20"/>
              </w:rPr>
            </w:pPr>
          </w:p>
        </w:tc>
      </w:tr>
      <w:tr w:rsidR="00FD75DC" w:rsidRPr="00CE0366" w14:paraId="4D98E9A5" w14:textId="705827CD" w:rsidTr="006330F0">
        <w:trPr>
          <w:trHeight w:val="416"/>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02022089"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Calibri" w:hAnsi="Arial" w:cs="Arial"/>
                <w:b/>
                <w:bCs/>
                <w:color w:val="000000" w:themeColor="text1"/>
                <w:kern w:val="24"/>
                <w:sz w:val="20"/>
                <w:szCs w:val="20"/>
                <w:lang w:eastAsia="en-GB"/>
              </w:rPr>
              <w:lastRenderedPageBreak/>
              <w:t>6</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26A6CBF6" w14:textId="77777777" w:rsidR="00FD75DC" w:rsidRPr="00E55176" w:rsidRDefault="00FD75DC" w:rsidP="00CE0366">
            <w:pPr>
              <w:spacing w:line="256" w:lineRule="auto"/>
              <w:rPr>
                <w:rFonts w:ascii="Arial" w:eastAsia="Calibri" w:hAnsi="Arial" w:cs="Arial"/>
                <w:b/>
                <w:bCs/>
                <w:color w:val="000000" w:themeColor="text1"/>
                <w:kern w:val="24"/>
                <w:sz w:val="20"/>
                <w:szCs w:val="20"/>
                <w:lang w:eastAsia="en-GB"/>
              </w:rPr>
            </w:pPr>
            <w:r w:rsidRPr="00E55176">
              <w:rPr>
                <w:rFonts w:ascii="Arial" w:eastAsia="Calibri" w:hAnsi="Arial" w:cs="Arial"/>
                <w:b/>
                <w:bCs/>
                <w:color w:val="000000" w:themeColor="text1"/>
                <w:kern w:val="24"/>
                <w:sz w:val="20"/>
                <w:szCs w:val="20"/>
                <w:lang w:eastAsia="en-GB"/>
              </w:rPr>
              <w:t>Percentage of staff experiencing harassment, bullying or abuse from staff in last 12 months</w:t>
            </w:r>
          </w:p>
          <w:p w14:paraId="67EB6BF1" w14:textId="77777777" w:rsidR="00FD75DC" w:rsidRPr="00E55176" w:rsidRDefault="00FD75DC" w:rsidP="00CE0366">
            <w:pPr>
              <w:spacing w:line="256" w:lineRule="auto"/>
              <w:rPr>
                <w:rFonts w:ascii="Arial" w:eastAsia="Times New Roman" w:hAnsi="Arial" w:cs="Arial"/>
                <w:b/>
                <w:bCs/>
                <w:sz w:val="20"/>
                <w:szCs w:val="20"/>
                <w:lang w:eastAsia="en-GB"/>
              </w:rPr>
            </w:pPr>
            <w:r w:rsidRPr="00E55176">
              <w:rPr>
                <w:rFonts w:ascii="Arial" w:eastAsia="Times New Roman" w:hAnsi="Arial" w:cs="Arial"/>
                <w:b/>
                <w:bCs/>
                <w:sz w:val="20"/>
                <w:szCs w:val="20"/>
                <w:lang w:eastAsia="en-GB"/>
              </w:rPr>
              <w:t>Target:</w:t>
            </w:r>
            <w:r w:rsidRPr="00E55176">
              <w:rPr>
                <w:b/>
                <w:bCs/>
                <w:sz w:val="20"/>
                <w:szCs w:val="20"/>
              </w:rPr>
              <w:t xml:space="preserve"> </w:t>
            </w:r>
            <w:r w:rsidRPr="00E55176">
              <w:rPr>
                <w:rFonts w:ascii="Arial" w:eastAsia="Times New Roman" w:hAnsi="Arial" w:cs="Arial"/>
                <w:b/>
                <w:bCs/>
                <w:sz w:val="20"/>
                <w:szCs w:val="20"/>
                <w:lang w:eastAsia="en-GB"/>
              </w:rPr>
              <w:t xml:space="preserve">Decrease percentage to </w:t>
            </w:r>
            <w:r w:rsidRPr="00E55176">
              <w:rPr>
                <w:rFonts w:ascii="Arial" w:eastAsia="Times New Roman" w:hAnsi="Arial" w:cs="Arial"/>
                <w:b/>
                <w:bCs/>
                <w:color w:val="C45911" w:themeColor="accent2" w:themeShade="BF"/>
                <w:sz w:val="20"/>
                <w:szCs w:val="20"/>
                <w:lang w:eastAsia="en-GB"/>
              </w:rPr>
              <w:t>below 15% by July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074AE0D0" w14:textId="3F7EBF27" w:rsidR="00314292" w:rsidRDefault="00314292" w:rsidP="00314292">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for Sept 23</w:t>
            </w:r>
            <w:r w:rsidR="006330F0">
              <w:rPr>
                <w:rFonts w:ascii="Arial" w:eastAsia="Calibri" w:hAnsi="Arial" w:cs="Arial"/>
                <w:b/>
                <w:bCs/>
                <w:color w:val="000000" w:themeColor="text1"/>
                <w:kern w:val="24"/>
                <w:sz w:val="20"/>
                <w:szCs w:val="20"/>
                <w:lang w:eastAsia="en-GB"/>
              </w:rPr>
              <w:t>/24</w:t>
            </w:r>
          </w:p>
          <w:p w14:paraId="00FBE328" w14:textId="77148EB0" w:rsidR="00FD75DC" w:rsidRPr="00344E41" w:rsidRDefault="00344E41" w:rsidP="00CE0366">
            <w:pPr>
              <w:spacing w:line="256" w:lineRule="auto"/>
              <w:rPr>
                <w:rFonts w:ascii="Arial" w:eastAsia="Calibri" w:hAnsi="Arial" w:cs="Arial"/>
                <w:b/>
                <w:bCs/>
                <w:color w:val="000000" w:themeColor="text1"/>
                <w:kern w:val="24"/>
                <w:sz w:val="20"/>
                <w:szCs w:val="20"/>
                <w:lang w:eastAsia="en-GB"/>
              </w:rPr>
            </w:pPr>
            <w:r w:rsidRPr="00344E41">
              <w:rPr>
                <w:rFonts w:ascii="Arial" w:eastAsia="Calibri" w:hAnsi="Arial" w:cs="Arial"/>
                <w:b/>
                <w:bCs/>
                <w:color w:val="000000" w:themeColor="text1"/>
                <w:kern w:val="24"/>
                <w:sz w:val="20"/>
                <w:szCs w:val="20"/>
                <w:lang w:eastAsia="en-GB"/>
              </w:rPr>
              <w:t>-15%</w:t>
            </w:r>
          </w:p>
        </w:tc>
      </w:tr>
      <w:tr w:rsidR="00FD75DC" w:rsidRPr="005916CB" w14:paraId="1CB628F0" w14:textId="5178B006" w:rsidTr="00624F9E">
        <w:trPr>
          <w:trHeight w:val="416"/>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7E484AC2" w14:textId="388F49A8"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919F3">
              <w:rPr>
                <w:rFonts w:ascii="Arial" w:eastAsia="Calibri" w:hAnsi="Arial" w:cs="Arial"/>
                <w:color w:val="000000" w:themeColor="text1"/>
                <w:kern w:val="24"/>
                <w:sz w:val="20"/>
                <w:szCs w:val="20"/>
                <w:lang w:eastAsia="en-GB"/>
              </w:rPr>
              <w:t>/20</w:t>
            </w:r>
          </w:p>
          <w:p w14:paraId="3669034A"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18.2%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75B00FD0" w14:textId="4533820B"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919F3">
              <w:rPr>
                <w:rFonts w:ascii="Arial" w:eastAsia="Calibri" w:hAnsi="Arial" w:cs="Arial"/>
                <w:color w:val="000000" w:themeColor="text1"/>
                <w:kern w:val="24"/>
                <w:sz w:val="20"/>
                <w:szCs w:val="20"/>
                <w:lang w:eastAsia="en-GB"/>
              </w:rPr>
              <w:t>/21</w:t>
            </w:r>
          </w:p>
          <w:p w14:paraId="7E5B87E9"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18.1%</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1879DE79" w14:textId="715373AD"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919F3">
              <w:rPr>
                <w:rFonts w:ascii="Arial" w:eastAsia="Calibri" w:hAnsi="Arial" w:cs="Arial"/>
                <w:color w:val="000000" w:themeColor="text1"/>
                <w:kern w:val="24"/>
                <w:sz w:val="20"/>
                <w:szCs w:val="20"/>
                <w:lang w:eastAsia="en-GB"/>
              </w:rPr>
              <w:t>/22</w:t>
            </w:r>
          </w:p>
          <w:p w14:paraId="4FC03B77" w14:textId="0B072DDE" w:rsidR="00FD75DC" w:rsidRPr="004F29B7" w:rsidRDefault="00FD75DC" w:rsidP="00E2476D">
            <w:pPr>
              <w:spacing w:line="256" w:lineRule="auto"/>
              <w:rPr>
                <w:rFonts w:ascii="Arial" w:eastAsia="Calibri" w:hAnsi="Arial" w:cs="Arial"/>
                <w:b/>
                <w:bCs/>
                <w:color w:val="ED7D31" w:themeColor="accent2"/>
                <w:kern w:val="24"/>
                <w:sz w:val="20"/>
                <w:szCs w:val="20"/>
                <w:lang w:eastAsia="en-GB"/>
              </w:rPr>
            </w:pPr>
            <w:r w:rsidRPr="00747D16">
              <w:rPr>
                <w:rFonts w:ascii="Arial" w:eastAsia="Calibri" w:hAnsi="Arial" w:cs="Arial"/>
                <w:b/>
                <w:bCs/>
                <w:color w:val="ED7D31" w:themeColor="accent2"/>
                <w:kern w:val="24"/>
                <w:sz w:val="20"/>
                <w:szCs w:val="20"/>
                <w:lang w:eastAsia="en-GB"/>
              </w:rPr>
              <w:t>16.4%</w:t>
            </w:r>
            <w:r>
              <w:rPr>
                <w:rFonts w:ascii="Arial" w:eastAsia="Calibri" w:hAnsi="Arial" w:cs="Arial"/>
                <w:color w:val="000000" w:themeColor="text1"/>
                <w:kern w:val="24"/>
                <w:sz w:val="20"/>
                <w:szCs w:val="20"/>
                <w:lang w:eastAsia="en-GB"/>
              </w:rPr>
              <w:t>.</w:t>
            </w:r>
          </w:p>
        </w:tc>
        <w:tc>
          <w:tcPr>
            <w:tcW w:w="1615" w:type="dxa"/>
            <w:tcBorders>
              <w:top w:val="single" w:sz="8" w:space="0" w:color="000000"/>
              <w:left w:val="single" w:sz="8" w:space="0" w:color="000000"/>
              <w:bottom w:val="single" w:sz="8" w:space="0" w:color="000000"/>
              <w:right w:val="single" w:sz="8" w:space="0" w:color="000000"/>
            </w:tcBorders>
          </w:tcPr>
          <w:p w14:paraId="33AE5DBB" w14:textId="1F508F50" w:rsidR="00FC4567" w:rsidRPr="009E6D1F" w:rsidRDefault="00FC4567" w:rsidP="00CE0366">
            <w:pPr>
              <w:spacing w:line="256" w:lineRule="auto"/>
              <w:rPr>
                <w:rFonts w:ascii="Arial" w:eastAsia="Calibri" w:hAnsi="Arial" w:cs="Arial"/>
                <w:b/>
                <w:bCs/>
                <w:kern w:val="24"/>
                <w:sz w:val="20"/>
                <w:szCs w:val="20"/>
                <w:lang w:eastAsia="en-GB"/>
              </w:rPr>
            </w:pPr>
            <w:r w:rsidRPr="009E6D1F">
              <w:rPr>
                <w:rFonts w:ascii="Arial" w:eastAsia="Calibri" w:hAnsi="Arial" w:cs="Arial"/>
                <w:b/>
                <w:bCs/>
                <w:kern w:val="24"/>
                <w:sz w:val="20"/>
                <w:szCs w:val="20"/>
                <w:lang w:eastAsia="en-GB"/>
              </w:rPr>
              <w:t>2022</w:t>
            </w:r>
            <w:r w:rsidR="009E6D1F">
              <w:rPr>
                <w:rFonts w:ascii="Arial" w:eastAsia="Calibri" w:hAnsi="Arial" w:cs="Arial"/>
                <w:b/>
                <w:bCs/>
                <w:kern w:val="24"/>
                <w:sz w:val="20"/>
                <w:szCs w:val="20"/>
                <w:lang w:eastAsia="en-GB"/>
              </w:rPr>
              <w:t>/23</w:t>
            </w:r>
            <w:r w:rsidRPr="009E6D1F">
              <w:rPr>
                <w:rFonts w:ascii="Arial" w:eastAsia="Calibri" w:hAnsi="Arial" w:cs="Arial"/>
                <w:b/>
                <w:bCs/>
                <w:kern w:val="24"/>
                <w:sz w:val="20"/>
                <w:szCs w:val="20"/>
                <w:lang w:eastAsia="en-GB"/>
              </w:rPr>
              <w:t xml:space="preserve"> </w:t>
            </w:r>
          </w:p>
          <w:p w14:paraId="1E05B292" w14:textId="627DCC06" w:rsidR="00FD75DC" w:rsidRPr="00FC4567" w:rsidRDefault="00FC4567" w:rsidP="00CE0366">
            <w:pPr>
              <w:spacing w:line="256" w:lineRule="auto"/>
              <w:rPr>
                <w:rFonts w:ascii="Arial" w:eastAsia="Calibri" w:hAnsi="Arial" w:cs="Arial"/>
                <w:b/>
                <w:bCs/>
                <w:color w:val="000000" w:themeColor="text1"/>
                <w:kern w:val="24"/>
                <w:sz w:val="20"/>
                <w:szCs w:val="20"/>
                <w:lang w:eastAsia="en-GB"/>
              </w:rPr>
            </w:pPr>
            <w:r w:rsidRPr="00FC4567">
              <w:rPr>
                <w:rFonts w:ascii="Arial" w:eastAsia="Calibri" w:hAnsi="Arial" w:cs="Arial"/>
                <w:b/>
                <w:bCs/>
                <w:color w:val="FF0000"/>
                <w:kern w:val="24"/>
                <w:sz w:val="20"/>
                <w:szCs w:val="20"/>
                <w:lang w:eastAsia="en-GB"/>
              </w:rPr>
              <w:t>16.</w:t>
            </w:r>
            <w:r w:rsidR="009E6D1F">
              <w:rPr>
                <w:rFonts w:ascii="Arial" w:eastAsia="Calibri" w:hAnsi="Arial" w:cs="Arial"/>
                <w:b/>
                <w:bCs/>
                <w:color w:val="FF0000"/>
                <w:kern w:val="24"/>
                <w:sz w:val="20"/>
                <w:szCs w:val="20"/>
                <w:lang w:eastAsia="en-GB"/>
              </w:rPr>
              <w:t>7</w:t>
            </w:r>
            <w:r w:rsidRPr="00FC4567">
              <w:rPr>
                <w:rFonts w:ascii="Arial" w:eastAsia="Calibri" w:hAnsi="Arial" w:cs="Arial"/>
                <w:b/>
                <w:bCs/>
                <w:color w:val="FF0000"/>
                <w:kern w:val="24"/>
                <w:sz w:val="20"/>
                <w:szCs w:val="20"/>
                <w:lang w:eastAsia="en-GB"/>
              </w:rPr>
              <w:t>%</w:t>
            </w:r>
          </w:p>
        </w:tc>
      </w:tr>
      <w:tr w:rsidR="00E55176" w:rsidRPr="005916CB" w14:paraId="00220920" w14:textId="77777777" w:rsidTr="004136BA">
        <w:trPr>
          <w:trHeight w:val="416"/>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07945A3B" w14:textId="77777777" w:rsidR="00E55176" w:rsidRPr="00E55176" w:rsidRDefault="00E55176" w:rsidP="00E55176">
            <w:pPr>
              <w:spacing w:line="256" w:lineRule="auto"/>
              <w:rPr>
                <w:rFonts w:ascii="Arial" w:eastAsia="Calibri" w:hAnsi="Arial" w:cs="Arial"/>
                <w:b/>
                <w:bCs/>
                <w:kern w:val="24"/>
                <w:sz w:val="20"/>
                <w:szCs w:val="20"/>
                <w:lang w:eastAsia="en-GB"/>
              </w:rPr>
            </w:pPr>
            <w:r w:rsidRPr="00E55176">
              <w:rPr>
                <w:rFonts w:ascii="Arial" w:eastAsia="Calibri" w:hAnsi="Arial" w:cs="Arial"/>
                <w:b/>
                <w:bCs/>
                <w:kern w:val="24"/>
                <w:sz w:val="20"/>
                <w:szCs w:val="20"/>
                <w:lang w:eastAsia="en-GB"/>
              </w:rPr>
              <w:t>Narrative as of May 2023</w:t>
            </w:r>
          </w:p>
          <w:p w14:paraId="61563C9C" w14:textId="77777777" w:rsidR="00E55176" w:rsidRPr="00E55176" w:rsidRDefault="00E55176" w:rsidP="00E55176">
            <w:pPr>
              <w:spacing w:line="256" w:lineRule="auto"/>
              <w:rPr>
                <w:rFonts w:ascii="Arial" w:eastAsia="Calibri" w:hAnsi="Arial" w:cs="Arial"/>
                <w:kern w:val="24"/>
                <w:sz w:val="20"/>
                <w:szCs w:val="20"/>
                <w:lang w:eastAsia="en-GB"/>
              </w:rPr>
            </w:pPr>
            <w:r w:rsidRPr="00E55176">
              <w:rPr>
                <w:rFonts w:ascii="Arial" w:eastAsia="Calibri" w:hAnsi="Arial" w:cs="Arial"/>
                <w:kern w:val="24"/>
                <w:sz w:val="20"/>
                <w:szCs w:val="20"/>
                <w:lang w:eastAsia="en-GB"/>
              </w:rPr>
              <w:t xml:space="preserve">We have seen an increased response rate from 214 to 246 with this indicator and we have also seen a marginal increase in the number of staff experiencing harassment, bullying or abuse from staff in last 12 months – an increase of 0.3%. The median benchmark average for this indicator is 22.8% and has remined stable for past 2 years. </w:t>
            </w:r>
          </w:p>
          <w:p w14:paraId="202D2CF2" w14:textId="446008D5" w:rsidR="00E55176" w:rsidRPr="009E6D1F" w:rsidRDefault="00E55176" w:rsidP="00E55176">
            <w:pPr>
              <w:spacing w:line="256" w:lineRule="auto"/>
              <w:rPr>
                <w:rFonts w:ascii="Arial" w:eastAsia="Calibri" w:hAnsi="Arial" w:cs="Arial"/>
                <w:b/>
                <w:bCs/>
                <w:kern w:val="24"/>
                <w:sz w:val="20"/>
                <w:szCs w:val="20"/>
                <w:lang w:eastAsia="en-GB"/>
              </w:rPr>
            </w:pPr>
            <w:r w:rsidRPr="00E55176">
              <w:rPr>
                <w:rFonts w:ascii="Arial" w:eastAsia="Calibri" w:hAnsi="Arial" w:cs="Arial"/>
                <w:kern w:val="24"/>
                <w:sz w:val="20"/>
                <w:szCs w:val="20"/>
                <w:lang w:eastAsia="en-GB"/>
              </w:rPr>
              <w:t>This year’s EDIB action plan includes the introduction of the Kind Life model – an evidenced based approach that reduces bullying and harassment and supports early restorative resolution when conflict does arise.</w:t>
            </w:r>
          </w:p>
        </w:tc>
      </w:tr>
      <w:tr w:rsidR="00523DB6" w:rsidRPr="005916CB" w14:paraId="677B4911" w14:textId="77777777" w:rsidTr="00E55176">
        <w:trPr>
          <w:trHeight w:val="416"/>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399B05F1" w14:textId="77777777" w:rsidR="00523DB6" w:rsidRDefault="00523DB6" w:rsidP="00CE036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677FF16F" w14:textId="1B93D3B6" w:rsidR="00CA3195" w:rsidRPr="00CA3195" w:rsidRDefault="00CA3195" w:rsidP="00CE0366">
            <w:pPr>
              <w:spacing w:line="256" w:lineRule="auto"/>
              <w:rPr>
                <w:rFonts w:ascii="Arial" w:eastAsia="Calibri" w:hAnsi="Arial" w:cs="Arial"/>
                <w:kern w:val="24"/>
                <w:sz w:val="20"/>
                <w:szCs w:val="20"/>
                <w:lang w:eastAsia="en-GB"/>
              </w:rPr>
            </w:pPr>
            <w:r w:rsidRPr="00CA3195">
              <w:rPr>
                <w:rFonts w:ascii="Arial" w:eastAsia="Calibri" w:hAnsi="Arial" w:cs="Arial"/>
                <w:kern w:val="24"/>
                <w:sz w:val="20"/>
                <w:szCs w:val="20"/>
                <w:lang w:eastAsia="en-GB"/>
              </w:rPr>
              <w:t xml:space="preserve">To raise education and awareness </w:t>
            </w:r>
            <w:r>
              <w:rPr>
                <w:rFonts w:ascii="Arial" w:eastAsia="Calibri" w:hAnsi="Arial" w:cs="Arial"/>
                <w:kern w:val="24"/>
                <w:sz w:val="20"/>
                <w:szCs w:val="20"/>
                <w:lang w:eastAsia="en-GB"/>
              </w:rPr>
              <w:t xml:space="preserve">around </w:t>
            </w:r>
            <w:r w:rsidR="00A4526F">
              <w:rPr>
                <w:rFonts w:ascii="Arial" w:eastAsia="Calibri" w:hAnsi="Arial" w:cs="Arial"/>
                <w:kern w:val="24"/>
                <w:sz w:val="20"/>
                <w:szCs w:val="20"/>
                <w:lang w:eastAsia="en-GB"/>
              </w:rPr>
              <w:t>harassment bullying and abuse and ensure robust People Policies are in place that are free from bias and address systemic or unconscious racism</w:t>
            </w:r>
            <w:r w:rsidR="00CE5572">
              <w:rPr>
                <w:rFonts w:ascii="Arial" w:eastAsia="Calibri" w:hAnsi="Arial" w:cs="Arial"/>
                <w:kern w:val="24"/>
                <w:sz w:val="20"/>
                <w:szCs w:val="20"/>
                <w:lang w:eastAsia="en-GB"/>
              </w:rPr>
              <w:t>.</w:t>
            </w: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E92966A" w14:textId="77777777" w:rsidR="00523DB6" w:rsidRDefault="00523DB6" w:rsidP="00523DB6">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Outcomes and Outputs</w:t>
            </w:r>
          </w:p>
          <w:p w14:paraId="088EC84E" w14:textId="77777777" w:rsidR="00523DB6" w:rsidRPr="00CE5572" w:rsidRDefault="00CE5572" w:rsidP="00CE5572">
            <w:pPr>
              <w:pStyle w:val="ListParagraph"/>
              <w:numPr>
                <w:ilvl w:val="0"/>
                <w:numId w:val="25"/>
              </w:numPr>
              <w:spacing w:line="256" w:lineRule="auto"/>
              <w:rPr>
                <w:rFonts w:ascii="Arial" w:eastAsia="Calibri" w:hAnsi="Arial" w:cs="Arial"/>
                <w:kern w:val="24"/>
                <w:sz w:val="20"/>
                <w:szCs w:val="20"/>
              </w:rPr>
            </w:pPr>
            <w:r w:rsidRPr="00CE5572">
              <w:rPr>
                <w:rFonts w:ascii="Arial" w:eastAsia="Calibri" w:hAnsi="Arial" w:cs="Arial"/>
                <w:kern w:val="24"/>
                <w:sz w:val="20"/>
                <w:szCs w:val="20"/>
              </w:rPr>
              <w:t xml:space="preserve">Activating allyship programmes </w:t>
            </w:r>
          </w:p>
          <w:p w14:paraId="50BF2D11" w14:textId="77777777" w:rsidR="00CE5572" w:rsidRPr="00CE5572" w:rsidRDefault="00CE5572" w:rsidP="00CE5572">
            <w:pPr>
              <w:pStyle w:val="ListParagraph"/>
              <w:numPr>
                <w:ilvl w:val="0"/>
                <w:numId w:val="25"/>
              </w:numPr>
              <w:spacing w:line="256" w:lineRule="auto"/>
              <w:rPr>
                <w:rFonts w:ascii="Arial" w:eastAsia="Calibri" w:hAnsi="Arial" w:cs="Arial"/>
                <w:b/>
                <w:bCs/>
                <w:kern w:val="24"/>
                <w:sz w:val="20"/>
                <w:szCs w:val="20"/>
              </w:rPr>
            </w:pPr>
            <w:r w:rsidRPr="00CE5572">
              <w:rPr>
                <w:rFonts w:ascii="Arial" w:eastAsia="Calibri" w:hAnsi="Arial" w:cs="Arial"/>
                <w:kern w:val="24"/>
                <w:sz w:val="20"/>
                <w:szCs w:val="20"/>
              </w:rPr>
              <w:t>Inclusive language programmes</w:t>
            </w:r>
          </w:p>
          <w:p w14:paraId="59A66506" w14:textId="00909456" w:rsidR="00CE5572" w:rsidRDefault="00CE5572" w:rsidP="00CE5572">
            <w:pPr>
              <w:pStyle w:val="ListParagraph"/>
              <w:numPr>
                <w:ilvl w:val="0"/>
                <w:numId w:val="25"/>
              </w:numPr>
              <w:spacing w:line="256" w:lineRule="auto"/>
              <w:rPr>
                <w:rFonts w:ascii="Arial" w:eastAsia="Calibri" w:hAnsi="Arial" w:cs="Arial"/>
                <w:kern w:val="24"/>
                <w:sz w:val="20"/>
                <w:szCs w:val="20"/>
              </w:rPr>
            </w:pPr>
            <w:r w:rsidRPr="00CE5572">
              <w:rPr>
                <w:rFonts w:ascii="Arial" w:eastAsia="Calibri" w:hAnsi="Arial" w:cs="Arial"/>
                <w:kern w:val="24"/>
                <w:sz w:val="20"/>
                <w:szCs w:val="20"/>
              </w:rPr>
              <w:t xml:space="preserve">ER review with lived </w:t>
            </w:r>
            <w:r w:rsidR="004D7593" w:rsidRPr="00CE5572">
              <w:rPr>
                <w:rFonts w:ascii="Arial" w:eastAsia="Calibri" w:hAnsi="Arial" w:cs="Arial"/>
                <w:kern w:val="24"/>
                <w:sz w:val="20"/>
                <w:szCs w:val="20"/>
              </w:rPr>
              <w:t>experience.</w:t>
            </w:r>
            <w:r w:rsidRPr="00CE5572">
              <w:rPr>
                <w:rFonts w:ascii="Arial" w:eastAsia="Calibri" w:hAnsi="Arial" w:cs="Arial"/>
                <w:kern w:val="24"/>
                <w:sz w:val="20"/>
                <w:szCs w:val="20"/>
              </w:rPr>
              <w:t xml:space="preserve"> </w:t>
            </w:r>
          </w:p>
          <w:p w14:paraId="55E6B9E6" w14:textId="77777777" w:rsidR="004D7593" w:rsidRDefault="004D7593" w:rsidP="00CE5572">
            <w:pPr>
              <w:pStyle w:val="ListParagraph"/>
              <w:numPr>
                <w:ilvl w:val="0"/>
                <w:numId w:val="25"/>
              </w:numPr>
              <w:spacing w:line="256" w:lineRule="auto"/>
              <w:rPr>
                <w:rFonts w:ascii="Arial" w:eastAsia="Calibri" w:hAnsi="Arial" w:cs="Arial"/>
                <w:kern w:val="24"/>
                <w:sz w:val="20"/>
                <w:szCs w:val="20"/>
              </w:rPr>
            </w:pPr>
            <w:r>
              <w:rPr>
                <w:rFonts w:ascii="Arial" w:eastAsia="Calibri" w:hAnsi="Arial" w:cs="Arial"/>
                <w:kern w:val="24"/>
                <w:sz w:val="20"/>
                <w:szCs w:val="20"/>
              </w:rPr>
              <w:t>SLT training and lived experience at SLT and board</w:t>
            </w:r>
          </w:p>
          <w:p w14:paraId="1E1C5F5E" w14:textId="77777777" w:rsidR="00E55176" w:rsidRDefault="00E55176" w:rsidP="00624F9E">
            <w:pPr>
              <w:pStyle w:val="ListParagraph"/>
              <w:spacing w:line="256" w:lineRule="auto"/>
              <w:rPr>
                <w:rFonts w:ascii="Arial" w:eastAsia="Calibri" w:hAnsi="Arial" w:cs="Arial"/>
                <w:kern w:val="24"/>
                <w:sz w:val="20"/>
                <w:szCs w:val="20"/>
              </w:rPr>
            </w:pPr>
          </w:p>
          <w:p w14:paraId="67A06AF4" w14:textId="77777777" w:rsidR="00624F9E" w:rsidRDefault="00624F9E" w:rsidP="00624F9E">
            <w:pPr>
              <w:pStyle w:val="ListParagraph"/>
              <w:spacing w:line="256" w:lineRule="auto"/>
              <w:rPr>
                <w:rFonts w:ascii="Arial" w:eastAsia="Calibri" w:hAnsi="Arial" w:cs="Arial"/>
                <w:kern w:val="24"/>
                <w:sz w:val="20"/>
                <w:szCs w:val="20"/>
              </w:rPr>
            </w:pPr>
          </w:p>
          <w:p w14:paraId="38F497F1" w14:textId="77777777" w:rsidR="00624F9E" w:rsidRDefault="00624F9E" w:rsidP="00624F9E">
            <w:pPr>
              <w:pStyle w:val="ListParagraph"/>
              <w:spacing w:line="256" w:lineRule="auto"/>
              <w:rPr>
                <w:rFonts w:ascii="Arial" w:eastAsia="Calibri" w:hAnsi="Arial" w:cs="Arial"/>
                <w:kern w:val="24"/>
                <w:sz w:val="20"/>
                <w:szCs w:val="20"/>
              </w:rPr>
            </w:pPr>
          </w:p>
          <w:p w14:paraId="3603AD44" w14:textId="77777777" w:rsidR="00624F9E" w:rsidRDefault="00624F9E" w:rsidP="00624F9E">
            <w:pPr>
              <w:pStyle w:val="ListParagraph"/>
              <w:spacing w:line="256" w:lineRule="auto"/>
              <w:rPr>
                <w:rFonts w:ascii="Arial" w:eastAsia="Calibri" w:hAnsi="Arial" w:cs="Arial"/>
                <w:kern w:val="24"/>
                <w:sz w:val="20"/>
                <w:szCs w:val="20"/>
              </w:rPr>
            </w:pPr>
          </w:p>
          <w:p w14:paraId="11027863" w14:textId="77777777" w:rsidR="00624F9E" w:rsidRDefault="00624F9E" w:rsidP="00624F9E">
            <w:pPr>
              <w:pStyle w:val="ListParagraph"/>
              <w:spacing w:line="256" w:lineRule="auto"/>
              <w:rPr>
                <w:rFonts w:ascii="Arial" w:eastAsia="Calibri" w:hAnsi="Arial" w:cs="Arial"/>
                <w:kern w:val="24"/>
                <w:sz w:val="20"/>
                <w:szCs w:val="20"/>
              </w:rPr>
            </w:pPr>
          </w:p>
          <w:p w14:paraId="4010DCD1" w14:textId="77777777" w:rsidR="00624F9E" w:rsidRDefault="00624F9E" w:rsidP="00624F9E">
            <w:pPr>
              <w:pStyle w:val="ListParagraph"/>
              <w:spacing w:line="256" w:lineRule="auto"/>
              <w:rPr>
                <w:rFonts w:ascii="Arial" w:eastAsia="Calibri" w:hAnsi="Arial" w:cs="Arial"/>
                <w:kern w:val="24"/>
                <w:sz w:val="20"/>
                <w:szCs w:val="20"/>
              </w:rPr>
            </w:pPr>
          </w:p>
          <w:p w14:paraId="6D9C5C39" w14:textId="77777777" w:rsidR="00624F9E" w:rsidRDefault="00624F9E" w:rsidP="00624F9E">
            <w:pPr>
              <w:pStyle w:val="ListParagraph"/>
              <w:spacing w:line="256" w:lineRule="auto"/>
              <w:rPr>
                <w:rFonts w:ascii="Arial" w:eastAsia="Calibri" w:hAnsi="Arial" w:cs="Arial"/>
                <w:kern w:val="24"/>
                <w:sz w:val="20"/>
                <w:szCs w:val="20"/>
              </w:rPr>
            </w:pPr>
          </w:p>
          <w:p w14:paraId="4820BB1D" w14:textId="77777777" w:rsidR="00624F9E" w:rsidRDefault="00624F9E" w:rsidP="00624F9E">
            <w:pPr>
              <w:pStyle w:val="ListParagraph"/>
              <w:spacing w:line="256" w:lineRule="auto"/>
              <w:rPr>
                <w:rFonts w:ascii="Arial" w:eastAsia="Calibri" w:hAnsi="Arial" w:cs="Arial"/>
                <w:kern w:val="24"/>
                <w:sz w:val="20"/>
                <w:szCs w:val="20"/>
              </w:rPr>
            </w:pPr>
          </w:p>
          <w:p w14:paraId="4DE458EB" w14:textId="77777777" w:rsidR="00624F9E" w:rsidRDefault="00624F9E" w:rsidP="00624F9E">
            <w:pPr>
              <w:pStyle w:val="ListParagraph"/>
              <w:spacing w:line="256" w:lineRule="auto"/>
              <w:rPr>
                <w:rFonts w:ascii="Arial" w:eastAsia="Calibri" w:hAnsi="Arial" w:cs="Arial"/>
                <w:kern w:val="24"/>
                <w:sz w:val="20"/>
                <w:szCs w:val="20"/>
              </w:rPr>
            </w:pPr>
          </w:p>
          <w:p w14:paraId="03F606EC" w14:textId="77777777" w:rsidR="00624F9E" w:rsidRDefault="00624F9E" w:rsidP="00624F9E">
            <w:pPr>
              <w:pStyle w:val="ListParagraph"/>
              <w:spacing w:line="256" w:lineRule="auto"/>
              <w:rPr>
                <w:rFonts w:ascii="Arial" w:eastAsia="Calibri" w:hAnsi="Arial" w:cs="Arial"/>
                <w:kern w:val="24"/>
                <w:sz w:val="20"/>
                <w:szCs w:val="20"/>
              </w:rPr>
            </w:pPr>
          </w:p>
          <w:p w14:paraId="55E37536" w14:textId="77777777" w:rsidR="00624F9E" w:rsidRDefault="00624F9E" w:rsidP="00624F9E">
            <w:pPr>
              <w:pStyle w:val="ListParagraph"/>
              <w:spacing w:line="256" w:lineRule="auto"/>
              <w:rPr>
                <w:rFonts w:ascii="Arial" w:eastAsia="Calibri" w:hAnsi="Arial" w:cs="Arial"/>
                <w:kern w:val="24"/>
                <w:sz w:val="20"/>
                <w:szCs w:val="20"/>
              </w:rPr>
            </w:pPr>
          </w:p>
          <w:p w14:paraId="7ED90AAB" w14:textId="10743A0B" w:rsidR="00624F9E" w:rsidRPr="00CE5572" w:rsidRDefault="00624F9E" w:rsidP="00624F9E">
            <w:pPr>
              <w:pStyle w:val="ListParagraph"/>
              <w:spacing w:line="256" w:lineRule="auto"/>
              <w:rPr>
                <w:rFonts w:ascii="Arial" w:eastAsia="Calibri" w:hAnsi="Arial" w:cs="Arial"/>
                <w:kern w:val="24"/>
                <w:sz w:val="20"/>
                <w:szCs w:val="20"/>
              </w:rPr>
            </w:pPr>
          </w:p>
        </w:tc>
      </w:tr>
      <w:tr w:rsidR="00FD75DC" w:rsidRPr="00CE0366" w14:paraId="137615E7" w14:textId="1E0F3A98" w:rsidTr="006330F0">
        <w:trPr>
          <w:trHeight w:val="865"/>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134D3776" w14:textId="77777777" w:rsidR="00FD75DC" w:rsidRPr="00624F9E" w:rsidRDefault="00FD75DC" w:rsidP="00CE0366">
            <w:pPr>
              <w:spacing w:line="256" w:lineRule="auto"/>
              <w:rPr>
                <w:rFonts w:ascii="Arial" w:eastAsia="Times New Roman" w:hAnsi="Arial" w:cs="Arial"/>
                <w:b/>
                <w:bCs/>
                <w:sz w:val="20"/>
                <w:szCs w:val="20"/>
                <w:lang w:eastAsia="en-GB"/>
              </w:rPr>
            </w:pPr>
            <w:r w:rsidRPr="00624F9E">
              <w:rPr>
                <w:rFonts w:ascii="Arial" w:eastAsia="Calibri" w:hAnsi="Arial" w:cs="Arial"/>
                <w:b/>
                <w:bCs/>
                <w:color w:val="000000" w:themeColor="text1"/>
                <w:kern w:val="24"/>
                <w:sz w:val="20"/>
                <w:szCs w:val="20"/>
                <w:lang w:eastAsia="en-GB"/>
              </w:rPr>
              <w:lastRenderedPageBreak/>
              <w:t>7</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7CD8460C" w14:textId="69A4796C" w:rsidR="001530EC" w:rsidRPr="00624F9E" w:rsidRDefault="00FD75DC" w:rsidP="00B56F21">
            <w:pPr>
              <w:spacing w:line="256" w:lineRule="auto"/>
              <w:rPr>
                <w:rFonts w:ascii="Arial" w:eastAsia="Calibri" w:hAnsi="Arial" w:cs="Arial"/>
                <w:b/>
                <w:bCs/>
                <w:color w:val="000000" w:themeColor="text1"/>
                <w:kern w:val="24"/>
                <w:sz w:val="20"/>
                <w:szCs w:val="20"/>
                <w:lang w:eastAsia="en-GB"/>
              </w:rPr>
            </w:pPr>
            <w:r w:rsidRPr="00624F9E">
              <w:rPr>
                <w:rFonts w:ascii="Arial" w:eastAsia="Calibri" w:hAnsi="Arial" w:cs="Arial"/>
                <w:b/>
                <w:bCs/>
                <w:color w:val="000000" w:themeColor="text1"/>
                <w:kern w:val="24"/>
                <w:sz w:val="20"/>
                <w:szCs w:val="20"/>
                <w:lang w:eastAsia="en-GB"/>
              </w:rPr>
              <w:t xml:space="preserve">Percentage of staff believing that trust provides equal opportunities for career progression or promotion </w:t>
            </w:r>
          </w:p>
          <w:p w14:paraId="14556D28" w14:textId="0B0C95B7" w:rsidR="00FD75DC" w:rsidRPr="00624F9E" w:rsidRDefault="00FD75DC" w:rsidP="00B56F21">
            <w:pPr>
              <w:spacing w:line="256" w:lineRule="auto"/>
              <w:rPr>
                <w:rFonts w:ascii="Arial" w:eastAsia="Calibri" w:hAnsi="Arial" w:cs="Arial"/>
                <w:b/>
                <w:bCs/>
                <w:i/>
                <w:iCs/>
                <w:color w:val="000000" w:themeColor="text1"/>
                <w:kern w:val="24"/>
                <w:sz w:val="18"/>
                <w:szCs w:val="18"/>
                <w:lang w:eastAsia="en-GB"/>
              </w:rPr>
            </w:pPr>
            <w:r w:rsidRPr="00624F9E">
              <w:rPr>
                <w:rFonts w:ascii="Arial" w:eastAsia="Calibri" w:hAnsi="Arial" w:cs="Arial"/>
                <w:b/>
                <w:bCs/>
                <w:i/>
                <w:iCs/>
                <w:color w:val="000000" w:themeColor="text1"/>
                <w:kern w:val="24"/>
                <w:sz w:val="18"/>
                <w:szCs w:val="18"/>
                <w:lang w:eastAsia="en-GB"/>
              </w:rPr>
              <w:t>NB the data collection and calculation formula have been changed by the national team, to now includes ‘don’t know’ in the base – new figure in brackets for 2019/2020.</w:t>
            </w:r>
          </w:p>
          <w:p w14:paraId="2C494F5B" w14:textId="77777777" w:rsidR="00FD75DC" w:rsidRPr="00624F9E" w:rsidRDefault="00FD75DC" w:rsidP="00B56F21">
            <w:pPr>
              <w:spacing w:line="256" w:lineRule="auto"/>
              <w:rPr>
                <w:rFonts w:ascii="Arial" w:eastAsia="Times New Roman" w:hAnsi="Arial" w:cs="Arial"/>
                <w:b/>
                <w:bCs/>
                <w:sz w:val="20"/>
                <w:szCs w:val="20"/>
                <w:lang w:eastAsia="en-GB"/>
              </w:rPr>
            </w:pPr>
            <w:r w:rsidRPr="00624F9E">
              <w:rPr>
                <w:rFonts w:ascii="Arial" w:eastAsia="Times New Roman" w:hAnsi="Arial" w:cs="Arial"/>
                <w:b/>
                <w:bCs/>
                <w:sz w:val="20"/>
                <w:szCs w:val="20"/>
                <w:lang w:eastAsia="en-GB"/>
              </w:rPr>
              <w:t xml:space="preserve">Target: Increase percentage to </w:t>
            </w:r>
            <w:r w:rsidRPr="00624F9E">
              <w:rPr>
                <w:rFonts w:ascii="Arial" w:eastAsia="Times New Roman" w:hAnsi="Arial" w:cs="Arial"/>
                <w:b/>
                <w:bCs/>
                <w:color w:val="FF0000"/>
                <w:sz w:val="20"/>
                <w:szCs w:val="20"/>
                <w:lang w:eastAsia="en-GB"/>
              </w:rPr>
              <w:t>85% by July 2022. Revised target – proportional increase – 60%</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6AB2DE4F" w14:textId="1410EDE5" w:rsidR="00344E41" w:rsidRDefault="00344E41" w:rsidP="00344E41">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 xml:space="preserve">for Sept 23 </w:t>
            </w:r>
            <w:r w:rsidR="006330F0">
              <w:rPr>
                <w:rFonts w:ascii="Arial" w:eastAsia="Calibri" w:hAnsi="Arial" w:cs="Arial"/>
                <w:b/>
                <w:bCs/>
                <w:color w:val="000000" w:themeColor="text1"/>
                <w:kern w:val="24"/>
                <w:sz w:val="20"/>
                <w:szCs w:val="20"/>
                <w:lang w:eastAsia="en-GB"/>
              </w:rPr>
              <w:t>/24</w:t>
            </w:r>
          </w:p>
          <w:p w14:paraId="43D69C44" w14:textId="77777777" w:rsidR="007819DD" w:rsidRDefault="007819DD" w:rsidP="00B56F21">
            <w:pPr>
              <w:spacing w:line="256" w:lineRule="auto"/>
              <w:rPr>
                <w:rFonts w:ascii="Arial" w:eastAsia="Calibri" w:hAnsi="Arial" w:cs="Arial"/>
                <w:b/>
                <w:bCs/>
                <w:color w:val="000000" w:themeColor="text1"/>
                <w:kern w:val="24"/>
                <w:sz w:val="20"/>
                <w:szCs w:val="20"/>
                <w:lang w:eastAsia="en-GB"/>
              </w:rPr>
            </w:pPr>
          </w:p>
          <w:p w14:paraId="4947A053" w14:textId="76DE28F8" w:rsidR="00FD75DC" w:rsidRPr="007819DD" w:rsidRDefault="007819DD" w:rsidP="00B56F21">
            <w:pPr>
              <w:spacing w:line="256" w:lineRule="auto"/>
              <w:rPr>
                <w:rFonts w:ascii="Arial" w:eastAsia="Calibri" w:hAnsi="Arial" w:cs="Arial"/>
                <w:b/>
                <w:bCs/>
                <w:color w:val="000000" w:themeColor="text1"/>
                <w:kern w:val="24"/>
                <w:sz w:val="20"/>
                <w:szCs w:val="20"/>
                <w:lang w:eastAsia="en-GB"/>
              </w:rPr>
            </w:pPr>
            <w:r w:rsidRPr="007819DD">
              <w:rPr>
                <w:rFonts w:ascii="Arial" w:eastAsia="Calibri" w:hAnsi="Arial" w:cs="Arial"/>
                <w:b/>
                <w:bCs/>
                <w:color w:val="000000" w:themeColor="text1"/>
                <w:kern w:val="24"/>
                <w:sz w:val="20"/>
                <w:szCs w:val="20"/>
                <w:lang w:eastAsia="en-GB"/>
              </w:rPr>
              <w:t>+60%</w:t>
            </w:r>
          </w:p>
        </w:tc>
      </w:tr>
      <w:tr w:rsidR="00FD75DC" w:rsidRPr="005916CB" w14:paraId="0B5054FF" w14:textId="594E2033" w:rsidTr="00624F9E">
        <w:trPr>
          <w:trHeight w:val="865"/>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3432E91B" w14:textId="67D53B49"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83CF9">
              <w:rPr>
                <w:rFonts w:ascii="Arial" w:eastAsia="Calibri" w:hAnsi="Arial" w:cs="Arial"/>
                <w:color w:val="000000" w:themeColor="text1"/>
                <w:kern w:val="24"/>
                <w:sz w:val="20"/>
                <w:szCs w:val="20"/>
                <w:lang w:eastAsia="en-GB"/>
              </w:rPr>
              <w:t>/20</w:t>
            </w:r>
          </w:p>
          <w:p w14:paraId="20256E67"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82.4% (47.9%)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570924BB" w14:textId="4D941948"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83CF9">
              <w:rPr>
                <w:rFonts w:ascii="Arial" w:eastAsia="Calibri" w:hAnsi="Arial" w:cs="Arial"/>
                <w:color w:val="000000" w:themeColor="text1"/>
                <w:kern w:val="24"/>
                <w:sz w:val="20"/>
                <w:szCs w:val="20"/>
                <w:lang w:eastAsia="en-GB"/>
              </w:rPr>
              <w:t>/21</w:t>
            </w:r>
          </w:p>
          <w:p w14:paraId="14D3066F"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80.3% (56.1%)</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7EAA8465" w14:textId="3E5630B5"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83CF9">
              <w:rPr>
                <w:rFonts w:ascii="Arial" w:eastAsia="Calibri" w:hAnsi="Arial" w:cs="Arial"/>
                <w:color w:val="000000" w:themeColor="text1"/>
                <w:kern w:val="24"/>
                <w:sz w:val="20"/>
                <w:szCs w:val="20"/>
                <w:lang w:eastAsia="en-GB"/>
              </w:rPr>
              <w:t>/22</w:t>
            </w:r>
          </w:p>
          <w:p w14:paraId="428BE155" w14:textId="61263BEB" w:rsidR="00FD75DC" w:rsidRPr="004F29B7" w:rsidRDefault="00FD75DC" w:rsidP="00CE0366">
            <w:pPr>
              <w:spacing w:line="256" w:lineRule="auto"/>
              <w:rPr>
                <w:rFonts w:ascii="Arial" w:eastAsia="Calibri" w:hAnsi="Arial" w:cs="Arial"/>
                <w:b/>
                <w:bCs/>
                <w:color w:val="FF0000"/>
                <w:kern w:val="24"/>
                <w:sz w:val="20"/>
                <w:szCs w:val="20"/>
                <w:lang w:eastAsia="en-GB"/>
              </w:rPr>
            </w:pPr>
            <w:r w:rsidRPr="005916CB">
              <w:rPr>
                <w:rFonts w:ascii="Arial" w:eastAsia="Calibri" w:hAnsi="Arial" w:cs="Arial"/>
                <w:b/>
                <w:bCs/>
                <w:color w:val="FF0000"/>
                <w:kern w:val="24"/>
                <w:sz w:val="20"/>
                <w:szCs w:val="20"/>
                <w:lang w:eastAsia="en-GB"/>
              </w:rPr>
              <w:t>57.7%</w:t>
            </w:r>
            <w:r>
              <w:rPr>
                <w:rFonts w:ascii="Arial" w:eastAsia="Calibri" w:hAnsi="Arial" w:cs="Arial"/>
                <w:b/>
                <w:bCs/>
                <w:color w:val="FF0000"/>
                <w:kern w:val="24"/>
                <w:sz w:val="20"/>
                <w:szCs w:val="20"/>
                <w:lang w:eastAsia="en-GB"/>
              </w:rPr>
              <w:t xml:space="preserve"> </w:t>
            </w:r>
          </w:p>
        </w:tc>
        <w:tc>
          <w:tcPr>
            <w:tcW w:w="1615" w:type="dxa"/>
            <w:tcBorders>
              <w:top w:val="single" w:sz="8" w:space="0" w:color="000000"/>
              <w:left w:val="single" w:sz="8" w:space="0" w:color="000000"/>
              <w:bottom w:val="single" w:sz="8" w:space="0" w:color="000000"/>
              <w:right w:val="single" w:sz="8" w:space="0" w:color="000000"/>
            </w:tcBorders>
          </w:tcPr>
          <w:p w14:paraId="6F0D0ABD" w14:textId="264B60B4" w:rsidR="008D6763" w:rsidRPr="009E6D1F" w:rsidRDefault="008D6763" w:rsidP="008D6763">
            <w:pPr>
              <w:spacing w:line="256" w:lineRule="auto"/>
              <w:rPr>
                <w:rFonts w:ascii="Arial" w:eastAsia="Calibri" w:hAnsi="Arial" w:cs="Arial"/>
                <w:b/>
                <w:bCs/>
                <w:kern w:val="24"/>
                <w:sz w:val="20"/>
                <w:szCs w:val="20"/>
                <w:lang w:eastAsia="en-GB"/>
              </w:rPr>
            </w:pPr>
            <w:r w:rsidRPr="009E6D1F">
              <w:rPr>
                <w:rFonts w:ascii="Arial" w:eastAsia="Calibri" w:hAnsi="Arial" w:cs="Arial"/>
                <w:b/>
                <w:bCs/>
                <w:kern w:val="24"/>
                <w:sz w:val="20"/>
                <w:szCs w:val="20"/>
                <w:lang w:eastAsia="en-GB"/>
              </w:rPr>
              <w:t xml:space="preserve">2022 </w:t>
            </w:r>
            <w:r w:rsidR="009E6D1F" w:rsidRPr="009E6D1F">
              <w:rPr>
                <w:rFonts w:ascii="Arial" w:eastAsia="Calibri" w:hAnsi="Arial" w:cs="Arial"/>
                <w:b/>
                <w:bCs/>
                <w:kern w:val="24"/>
                <w:sz w:val="20"/>
                <w:szCs w:val="20"/>
                <w:lang w:eastAsia="en-GB"/>
              </w:rPr>
              <w:t>/23</w:t>
            </w:r>
          </w:p>
          <w:p w14:paraId="628B7900" w14:textId="77777777" w:rsidR="00FD75DC" w:rsidRDefault="00FD75DC" w:rsidP="00CE0366">
            <w:pPr>
              <w:spacing w:line="256" w:lineRule="auto"/>
              <w:rPr>
                <w:rFonts w:ascii="Arial" w:eastAsia="Calibri" w:hAnsi="Arial" w:cs="Arial"/>
                <w:color w:val="000000" w:themeColor="text1"/>
                <w:kern w:val="24"/>
                <w:sz w:val="20"/>
                <w:szCs w:val="20"/>
                <w:lang w:eastAsia="en-GB"/>
              </w:rPr>
            </w:pPr>
          </w:p>
          <w:p w14:paraId="253634B3" w14:textId="70FF3BCD" w:rsidR="008D6763" w:rsidRPr="008D6763" w:rsidRDefault="008D6763" w:rsidP="00CE0366">
            <w:pPr>
              <w:spacing w:line="256" w:lineRule="auto"/>
              <w:rPr>
                <w:rFonts w:ascii="Arial" w:eastAsia="Calibri" w:hAnsi="Arial" w:cs="Arial"/>
                <w:b/>
                <w:bCs/>
                <w:color w:val="000000" w:themeColor="text1"/>
                <w:kern w:val="24"/>
                <w:sz w:val="20"/>
                <w:szCs w:val="20"/>
                <w:lang w:eastAsia="en-GB"/>
              </w:rPr>
            </w:pPr>
            <w:r w:rsidRPr="003B24DE">
              <w:rPr>
                <w:rFonts w:ascii="Arial" w:eastAsia="Calibri" w:hAnsi="Arial" w:cs="Arial"/>
                <w:b/>
                <w:bCs/>
                <w:color w:val="FF0000"/>
                <w:kern w:val="24"/>
                <w:sz w:val="20"/>
                <w:szCs w:val="20"/>
                <w:lang w:eastAsia="en-GB"/>
              </w:rPr>
              <w:t>56.9%</w:t>
            </w:r>
          </w:p>
        </w:tc>
      </w:tr>
      <w:tr w:rsidR="00E55176" w:rsidRPr="005916CB" w14:paraId="0EC2E0FD" w14:textId="77777777" w:rsidTr="00D266E6">
        <w:trPr>
          <w:trHeight w:val="865"/>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1B2036FF" w14:textId="77777777" w:rsidR="00E55176" w:rsidRPr="00E55176" w:rsidRDefault="00E55176" w:rsidP="00E55176">
            <w:pPr>
              <w:spacing w:line="256" w:lineRule="auto"/>
              <w:rPr>
                <w:rFonts w:ascii="Arial" w:eastAsia="Calibri" w:hAnsi="Arial" w:cs="Arial"/>
                <w:b/>
                <w:bCs/>
                <w:kern w:val="24"/>
                <w:sz w:val="20"/>
                <w:szCs w:val="20"/>
                <w:lang w:eastAsia="en-GB"/>
              </w:rPr>
            </w:pPr>
            <w:r w:rsidRPr="00E55176">
              <w:rPr>
                <w:rFonts w:ascii="Arial" w:eastAsia="Calibri" w:hAnsi="Arial" w:cs="Arial"/>
                <w:b/>
                <w:bCs/>
                <w:kern w:val="24"/>
                <w:sz w:val="20"/>
                <w:szCs w:val="20"/>
                <w:lang w:eastAsia="en-GB"/>
              </w:rPr>
              <w:t xml:space="preserve">Narrative as of May 2023 </w:t>
            </w:r>
          </w:p>
          <w:p w14:paraId="46719737" w14:textId="3DEA9A65" w:rsidR="00E55176" w:rsidRPr="009E6D1F" w:rsidRDefault="00E55176" w:rsidP="00E55176">
            <w:pPr>
              <w:spacing w:line="256" w:lineRule="auto"/>
              <w:rPr>
                <w:rFonts w:ascii="Arial" w:eastAsia="Calibri" w:hAnsi="Arial" w:cs="Arial"/>
                <w:b/>
                <w:bCs/>
                <w:kern w:val="24"/>
                <w:sz w:val="20"/>
                <w:szCs w:val="20"/>
                <w:lang w:eastAsia="en-GB"/>
              </w:rPr>
            </w:pPr>
            <w:r w:rsidRPr="00E55176">
              <w:rPr>
                <w:rFonts w:ascii="Arial" w:eastAsia="Calibri" w:hAnsi="Arial" w:cs="Arial"/>
                <w:kern w:val="24"/>
                <w:sz w:val="20"/>
                <w:szCs w:val="20"/>
                <w:lang w:eastAsia="en-GB"/>
              </w:rPr>
              <w:t xml:space="preserve">This is an area that continues to be a recognised challenge and we are lunching the reverse mentoring programme with the aim to address this further. The national benchmark average is currently 49.6% but it is clear through this data and staff voice in the networks further needs to be actioned to address the inequalities here. This will remain a clear priority and focus in this </w:t>
            </w:r>
            <w:proofErr w:type="spellStart"/>
            <w:r w:rsidRPr="00E55176">
              <w:rPr>
                <w:rFonts w:ascii="Arial" w:eastAsia="Calibri" w:hAnsi="Arial" w:cs="Arial"/>
                <w:kern w:val="24"/>
                <w:sz w:val="20"/>
                <w:szCs w:val="20"/>
                <w:lang w:eastAsia="en-GB"/>
              </w:rPr>
              <w:t>years</w:t>
            </w:r>
            <w:proofErr w:type="spellEnd"/>
            <w:r w:rsidRPr="00E55176">
              <w:rPr>
                <w:rFonts w:ascii="Arial" w:eastAsia="Calibri" w:hAnsi="Arial" w:cs="Arial"/>
                <w:kern w:val="24"/>
                <w:sz w:val="20"/>
                <w:szCs w:val="20"/>
                <w:lang w:eastAsia="en-GB"/>
              </w:rPr>
              <w:t xml:space="preserve"> EDIB action plan. The response rate for this indicator increased by 33.intrestinmg to consider alongside indicator 4, where we have seen in increase – could suggest positive action takes place to open CPD but it’s the progression that comes after that needs more attention and support</w:t>
            </w:r>
            <w:r w:rsidRPr="00E55176">
              <w:rPr>
                <w:rFonts w:ascii="Arial" w:eastAsia="Calibri" w:hAnsi="Arial" w:cs="Arial"/>
                <w:b/>
                <w:bCs/>
                <w:kern w:val="24"/>
                <w:sz w:val="20"/>
                <w:szCs w:val="20"/>
                <w:lang w:eastAsia="en-GB"/>
              </w:rPr>
              <w:t>.</w:t>
            </w:r>
          </w:p>
        </w:tc>
      </w:tr>
      <w:tr w:rsidR="004D7593" w:rsidRPr="005916CB" w14:paraId="233A335B" w14:textId="77777777" w:rsidTr="00E55176">
        <w:trPr>
          <w:trHeight w:val="865"/>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4936E011" w14:textId="2C617056" w:rsidR="00624F9E" w:rsidRPr="00624F9E" w:rsidRDefault="004D7593" w:rsidP="00624F9E">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593EC0C5" w14:textId="77777777" w:rsidR="00624F9E" w:rsidRPr="00624F9E" w:rsidRDefault="00624F9E" w:rsidP="00624F9E">
            <w:pPr>
              <w:spacing w:line="256" w:lineRule="auto"/>
              <w:rPr>
                <w:rFonts w:ascii="Arial" w:eastAsia="Calibri" w:hAnsi="Arial" w:cs="Arial"/>
                <w:kern w:val="24"/>
                <w:sz w:val="20"/>
                <w:szCs w:val="20"/>
                <w:lang w:eastAsia="en-GB"/>
              </w:rPr>
            </w:pPr>
            <w:r w:rsidRPr="00624F9E">
              <w:rPr>
                <w:rFonts w:ascii="Arial" w:eastAsia="Calibri" w:hAnsi="Arial" w:cs="Arial"/>
                <w:kern w:val="24"/>
                <w:sz w:val="20"/>
                <w:szCs w:val="20"/>
                <w:lang w:eastAsia="en-GB"/>
              </w:rPr>
              <w:t xml:space="preserve">Support leadership, development and coaching for colleagues with protected characteristics. </w:t>
            </w:r>
          </w:p>
          <w:p w14:paraId="5776222D" w14:textId="0FDC4815" w:rsidR="00624F9E" w:rsidRPr="00624F9E" w:rsidRDefault="00624F9E" w:rsidP="00624F9E">
            <w:pPr>
              <w:spacing w:line="256" w:lineRule="auto"/>
              <w:rPr>
                <w:rFonts w:ascii="Arial" w:eastAsia="Calibri" w:hAnsi="Arial" w:cs="Arial"/>
                <w:b/>
                <w:bCs/>
                <w:kern w:val="24"/>
                <w:sz w:val="20"/>
                <w:szCs w:val="20"/>
                <w:lang w:eastAsia="en-GB"/>
              </w:rPr>
            </w:pPr>
            <w:r w:rsidRPr="00624F9E">
              <w:rPr>
                <w:rFonts w:ascii="Arial" w:eastAsia="Calibri" w:hAnsi="Arial" w:cs="Arial"/>
                <w:b/>
                <w:bCs/>
                <w:kern w:val="24"/>
                <w:sz w:val="20"/>
                <w:szCs w:val="20"/>
                <w:lang w:eastAsia="en-GB"/>
              </w:rPr>
              <w:tab/>
            </w:r>
          </w:p>
          <w:p w14:paraId="64A5EB41" w14:textId="77777777" w:rsidR="00624F9E" w:rsidRPr="00624F9E" w:rsidRDefault="00624F9E" w:rsidP="00624F9E">
            <w:pPr>
              <w:spacing w:line="256" w:lineRule="auto"/>
              <w:rPr>
                <w:rFonts w:ascii="Arial" w:eastAsia="Calibri" w:hAnsi="Arial" w:cs="Arial"/>
                <w:b/>
                <w:bCs/>
                <w:kern w:val="24"/>
                <w:sz w:val="20"/>
                <w:szCs w:val="20"/>
                <w:lang w:eastAsia="en-GB"/>
              </w:rPr>
            </w:pPr>
          </w:p>
          <w:p w14:paraId="4C3F13D3" w14:textId="77777777" w:rsidR="00624F9E" w:rsidRPr="00624F9E" w:rsidRDefault="00624F9E" w:rsidP="00624F9E">
            <w:pPr>
              <w:spacing w:line="256" w:lineRule="auto"/>
              <w:rPr>
                <w:rFonts w:ascii="Arial" w:eastAsia="Calibri" w:hAnsi="Arial" w:cs="Arial"/>
                <w:b/>
                <w:bCs/>
                <w:kern w:val="24"/>
                <w:sz w:val="20"/>
                <w:szCs w:val="20"/>
                <w:lang w:eastAsia="en-GB"/>
              </w:rPr>
            </w:pPr>
          </w:p>
          <w:p w14:paraId="2AE85F1E" w14:textId="77777777" w:rsidR="00624F9E" w:rsidRPr="00624F9E" w:rsidRDefault="00624F9E" w:rsidP="00624F9E">
            <w:pPr>
              <w:spacing w:line="256" w:lineRule="auto"/>
              <w:rPr>
                <w:rFonts w:ascii="Arial" w:eastAsia="Calibri" w:hAnsi="Arial" w:cs="Arial"/>
                <w:b/>
                <w:bCs/>
                <w:kern w:val="24"/>
                <w:sz w:val="20"/>
                <w:szCs w:val="20"/>
                <w:lang w:eastAsia="en-GB"/>
              </w:rPr>
            </w:pPr>
          </w:p>
          <w:p w14:paraId="2F95D718" w14:textId="77777777" w:rsidR="00624F9E" w:rsidRPr="00624F9E" w:rsidRDefault="00624F9E" w:rsidP="00624F9E">
            <w:pPr>
              <w:spacing w:line="256" w:lineRule="auto"/>
              <w:rPr>
                <w:rFonts w:ascii="Arial" w:eastAsia="Calibri" w:hAnsi="Arial" w:cs="Arial"/>
                <w:b/>
                <w:bCs/>
                <w:kern w:val="24"/>
                <w:sz w:val="20"/>
                <w:szCs w:val="20"/>
                <w:lang w:eastAsia="en-GB"/>
              </w:rPr>
            </w:pPr>
          </w:p>
          <w:p w14:paraId="22697B5A" w14:textId="77777777" w:rsidR="00624F9E" w:rsidRPr="00624F9E" w:rsidRDefault="00624F9E" w:rsidP="00624F9E">
            <w:pPr>
              <w:spacing w:line="256" w:lineRule="auto"/>
              <w:rPr>
                <w:rFonts w:ascii="Arial" w:eastAsia="Calibri" w:hAnsi="Arial" w:cs="Arial"/>
                <w:b/>
                <w:bCs/>
                <w:kern w:val="24"/>
                <w:sz w:val="20"/>
                <w:szCs w:val="20"/>
                <w:lang w:eastAsia="en-GB"/>
              </w:rPr>
            </w:pPr>
          </w:p>
          <w:p w14:paraId="26E46AF6" w14:textId="29BE04E4" w:rsidR="004D7593" w:rsidRPr="009E6D1F" w:rsidRDefault="004D7593" w:rsidP="008D6763">
            <w:pPr>
              <w:spacing w:line="256" w:lineRule="auto"/>
              <w:rPr>
                <w:rFonts w:ascii="Arial" w:eastAsia="Calibri" w:hAnsi="Arial" w:cs="Arial"/>
                <w:b/>
                <w:bCs/>
                <w:kern w:val="24"/>
                <w:sz w:val="20"/>
                <w:szCs w:val="20"/>
                <w:lang w:eastAsia="en-GB"/>
              </w:rPr>
            </w:pP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2B3969A0" w14:textId="77777777" w:rsidR="004D7593" w:rsidRDefault="004D7593" w:rsidP="008D6763">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Outcomes/ Outputs</w:t>
            </w:r>
          </w:p>
          <w:p w14:paraId="5495DC57" w14:textId="77777777" w:rsidR="00624F9E" w:rsidRPr="00624F9E" w:rsidRDefault="00624F9E" w:rsidP="00624F9E">
            <w:pPr>
              <w:pStyle w:val="ListParagraph"/>
              <w:numPr>
                <w:ilvl w:val="0"/>
                <w:numId w:val="26"/>
              </w:numPr>
              <w:spacing w:line="256" w:lineRule="auto"/>
              <w:rPr>
                <w:rFonts w:ascii="Arial" w:eastAsia="Calibri" w:hAnsi="Arial" w:cs="Arial"/>
                <w:kern w:val="24"/>
                <w:sz w:val="20"/>
                <w:szCs w:val="20"/>
              </w:rPr>
            </w:pPr>
            <w:r w:rsidRPr="00624F9E">
              <w:rPr>
                <w:rFonts w:ascii="Arial" w:eastAsia="Calibri" w:hAnsi="Arial" w:cs="Arial"/>
                <w:kern w:val="24"/>
                <w:sz w:val="20"/>
                <w:szCs w:val="20"/>
              </w:rPr>
              <w:t xml:space="preserve">Reverse mentoring programme </w:t>
            </w:r>
          </w:p>
          <w:p w14:paraId="1432DECF" w14:textId="77777777" w:rsidR="00624F9E" w:rsidRPr="00624F9E" w:rsidRDefault="00624F9E" w:rsidP="00624F9E">
            <w:pPr>
              <w:pStyle w:val="ListParagraph"/>
              <w:numPr>
                <w:ilvl w:val="0"/>
                <w:numId w:val="26"/>
              </w:numPr>
              <w:spacing w:line="256" w:lineRule="auto"/>
              <w:rPr>
                <w:rFonts w:ascii="Arial" w:eastAsia="Calibri" w:hAnsi="Arial" w:cs="Arial"/>
                <w:kern w:val="24"/>
                <w:sz w:val="20"/>
                <w:szCs w:val="20"/>
              </w:rPr>
            </w:pPr>
            <w:r w:rsidRPr="00624F9E">
              <w:rPr>
                <w:rFonts w:ascii="Arial" w:eastAsia="Calibri" w:hAnsi="Arial" w:cs="Arial"/>
                <w:kern w:val="24"/>
                <w:sz w:val="20"/>
                <w:szCs w:val="20"/>
              </w:rPr>
              <w:t>Targeted promotion of positive action programmes such as Rising Tide</w:t>
            </w:r>
          </w:p>
          <w:p w14:paraId="7E9A5F92" w14:textId="77777777" w:rsidR="00624F9E" w:rsidRPr="00624F9E" w:rsidRDefault="00624F9E" w:rsidP="00624F9E">
            <w:pPr>
              <w:pStyle w:val="ListParagraph"/>
              <w:numPr>
                <w:ilvl w:val="0"/>
                <w:numId w:val="26"/>
              </w:numPr>
              <w:spacing w:line="256" w:lineRule="auto"/>
              <w:rPr>
                <w:rFonts w:ascii="Arial" w:eastAsia="Calibri" w:hAnsi="Arial" w:cs="Arial"/>
                <w:kern w:val="24"/>
                <w:sz w:val="20"/>
                <w:szCs w:val="20"/>
              </w:rPr>
            </w:pPr>
            <w:r w:rsidRPr="00624F9E">
              <w:rPr>
                <w:rFonts w:ascii="Arial" w:eastAsia="Calibri" w:hAnsi="Arial" w:cs="Arial"/>
                <w:kern w:val="24"/>
                <w:sz w:val="20"/>
                <w:szCs w:val="20"/>
              </w:rPr>
              <w:t xml:space="preserve">Coaching and career conversations for BAME colleagues </w:t>
            </w:r>
          </w:p>
          <w:p w14:paraId="6692A7BF" w14:textId="7B168D58" w:rsidR="00624F9E" w:rsidRPr="009E6D1F" w:rsidRDefault="00624F9E" w:rsidP="008D6763">
            <w:pPr>
              <w:spacing w:line="256" w:lineRule="auto"/>
              <w:rPr>
                <w:rFonts w:ascii="Arial" w:eastAsia="Calibri" w:hAnsi="Arial" w:cs="Arial"/>
                <w:b/>
                <w:bCs/>
                <w:kern w:val="24"/>
                <w:sz w:val="20"/>
                <w:szCs w:val="20"/>
                <w:lang w:eastAsia="en-GB"/>
              </w:rPr>
            </w:pPr>
          </w:p>
        </w:tc>
      </w:tr>
      <w:tr w:rsidR="00FD75DC" w:rsidRPr="00CE0366" w14:paraId="3245FD31" w14:textId="0659E923" w:rsidTr="006330F0">
        <w:trPr>
          <w:trHeight w:val="865"/>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23D96952" w14:textId="77777777" w:rsidR="00FD75DC" w:rsidRPr="00CE0366" w:rsidRDefault="00FD75DC" w:rsidP="00CE0366">
            <w:pPr>
              <w:spacing w:line="256" w:lineRule="auto"/>
              <w:rPr>
                <w:rFonts w:ascii="Arial" w:eastAsia="Times New Roman" w:hAnsi="Arial" w:cs="Arial"/>
                <w:sz w:val="20"/>
                <w:szCs w:val="20"/>
                <w:lang w:eastAsia="en-GB"/>
              </w:rPr>
            </w:pPr>
            <w:r w:rsidRPr="00CE0366">
              <w:rPr>
                <w:rFonts w:ascii="Arial" w:eastAsia="Calibri" w:hAnsi="Arial" w:cs="Arial"/>
                <w:color w:val="000000" w:themeColor="text1"/>
                <w:kern w:val="24"/>
                <w:sz w:val="20"/>
                <w:szCs w:val="20"/>
                <w:lang w:eastAsia="en-GB"/>
              </w:rPr>
              <w:lastRenderedPageBreak/>
              <w:t>8.</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66AA287B"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CE0366">
              <w:rPr>
                <w:rFonts w:ascii="Arial" w:eastAsia="Calibri" w:hAnsi="Arial" w:cs="Arial"/>
                <w:color w:val="000000" w:themeColor="text1"/>
                <w:kern w:val="24"/>
                <w:sz w:val="20"/>
                <w:szCs w:val="20"/>
                <w:lang w:eastAsia="en-GB"/>
              </w:rPr>
              <w:t>Percentage of staff personally experiencing discrimination at work from a manager/team leader or other colleagues</w:t>
            </w:r>
          </w:p>
          <w:p w14:paraId="28DFF1A5" w14:textId="77777777" w:rsidR="00FD75DC" w:rsidRPr="00CE0366" w:rsidRDefault="00FD75DC" w:rsidP="00CE0366">
            <w:pPr>
              <w:spacing w:line="256" w:lineRule="auto"/>
              <w:rPr>
                <w:rFonts w:ascii="Arial" w:eastAsia="Times New Roman" w:hAnsi="Arial" w:cs="Arial"/>
                <w:b/>
                <w:bCs/>
                <w:sz w:val="20"/>
                <w:szCs w:val="20"/>
                <w:lang w:eastAsia="en-GB"/>
              </w:rPr>
            </w:pPr>
            <w:r w:rsidRPr="005916CB">
              <w:rPr>
                <w:rFonts w:ascii="Arial" w:eastAsia="Times New Roman" w:hAnsi="Arial" w:cs="Arial"/>
                <w:b/>
                <w:bCs/>
                <w:sz w:val="20"/>
                <w:szCs w:val="20"/>
                <w:lang w:eastAsia="en-GB"/>
              </w:rPr>
              <w:t>Target:</w:t>
            </w:r>
            <w:r w:rsidRPr="005916CB">
              <w:rPr>
                <w:b/>
                <w:bCs/>
                <w:sz w:val="20"/>
                <w:szCs w:val="20"/>
              </w:rPr>
              <w:t xml:space="preserve"> </w:t>
            </w:r>
            <w:r w:rsidRPr="005916CB">
              <w:rPr>
                <w:rFonts w:ascii="Arial" w:eastAsia="Times New Roman" w:hAnsi="Arial" w:cs="Arial"/>
                <w:b/>
                <w:bCs/>
                <w:sz w:val="20"/>
                <w:szCs w:val="20"/>
                <w:lang w:eastAsia="en-GB"/>
              </w:rPr>
              <w:t xml:space="preserve">Decrease percentage to </w:t>
            </w:r>
            <w:r w:rsidRPr="005916CB">
              <w:rPr>
                <w:rFonts w:ascii="Arial" w:eastAsia="Times New Roman" w:hAnsi="Arial" w:cs="Arial"/>
                <w:b/>
                <w:bCs/>
                <w:color w:val="70AD47" w:themeColor="accent6"/>
                <w:sz w:val="20"/>
                <w:szCs w:val="20"/>
                <w:lang w:eastAsia="en-GB"/>
              </w:rPr>
              <w:t>below 10% by June 2022.</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1B35C561" w14:textId="201C6CD9" w:rsidR="007819DD" w:rsidRDefault="007819DD" w:rsidP="007819DD">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 xml:space="preserve">for Sept 23 </w:t>
            </w:r>
            <w:r w:rsidR="006330F0">
              <w:rPr>
                <w:rFonts w:ascii="Arial" w:eastAsia="Calibri" w:hAnsi="Arial" w:cs="Arial"/>
                <w:b/>
                <w:bCs/>
                <w:color w:val="000000" w:themeColor="text1"/>
                <w:kern w:val="24"/>
                <w:sz w:val="20"/>
                <w:szCs w:val="20"/>
                <w:lang w:eastAsia="en-GB"/>
              </w:rPr>
              <w:t>/24</w:t>
            </w:r>
          </w:p>
          <w:p w14:paraId="70171B59" w14:textId="77777777" w:rsidR="0073324D" w:rsidRDefault="0073324D" w:rsidP="00CE0366">
            <w:pPr>
              <w:spacing w:line="256" w:lineRule="auto"/>
              <w:rPr>
                <w:rFonts w:ascii="Arial" w:eastAsia="Calibri" w:hAnsi="Arial" w:cs="Arial"/>
                <w:color w:val="000000" w:themeColor="text1"/>
                <w:kern w:val="24"/>
                <w:sz w:val="20"/>
                <w:szCs w:val="20"/>
                <w:lang w:eastAsia="en-GB"/>
              </w:rPr>
            </w:pPr>
          </w:p>
          <w:p w14:paraId="42518E6D" w14:textId="7613C91C" w:rsidR="00FD75DC" w:rsidRPr="00CE0366" w:rsidRDefault="007819DD" w:rsidP="00CE0366">
            <w:pPr>
              <w:spacing w:line="256" w:lineRule="auto"/>
              <w:rPr>
                <w:rFonts w:ascii="Arial" w:eastAsia="Calibri" w:hAnsi="Arial" w:cs="Arial"/>
                <w:color w:val="000000" w:themeColor="text1"/>
                <w:kern w:val="24"/>
                <w:sz w:val="20"/>
                <w:szCs w:val="20"/>
                <w:lang w:eastAsia="en-GB"/>
              </w:rPr>
            </w:pPr>
            <w:r>
              <w:rPr>
                <w:rFonts w:ascii="Arial" w:eastAsia="Calibri" w:hAnsi="Arial" w:cs="Arial"/>
                <w:color w:val="000000" w:themeColor="text1"/>
                <w:kern w:val="24"/>
                <w:sz w:val="20"/>
                <w:szCs w:val="20"/>
                <w:lang w:eastAsia="en-GB"/>
              </w:rPr>
              <w:t>-10%</w:t>
            </w:r>
          </w:p>
        </w:tc>
      </w:tr>
      <w:tr w:rsidR="00FD75DC" w:rsidRPr="005916CB" w14:paraId="20F7C03D" w14:textId="4765CFD5" w:rsidTr="00624F9E">
        <w:trPr>
          <w:trHeight w:val="865"/>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420F07C2" w14:textId="6D0EC34C"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83CF9">
              <w:rPr>
                <w:rFonts w:ascii="Arial" w:eastAsia="Calibri" w:hAnsi="Arial" w:cs="Arial"/>
                <w:color w:val="000000" w:themeColor="text1"/>
                <w:kern w:val="24"/>
                <w:sz w:val="20"/>
                <w:szCs w:val="20"/>
                <w:lang w:eastAsia="en-GB"/>
              </w:rPr>
              <w:t>/20</w:t>
            </w:r>
          </w:p>
          <w:p w14:paraId="55A977D7"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9.5%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61674F31" w14:textId="7AF1B365"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2020</w:t>
            </w:r>
            <w:r w:rsidR="00F83CF9">
              <w:rPr>
                <w:rFonts w:ascii="Arial" w:eastAsia="Calibri" w:hAnsi="Arial" w:cs="Arial"/>
                <w:color w:val="000000" w:themeColor="text1"/>
                <w:kern w:val="24"/>
                <w:sz w:val="20"/>
                <w:szCs w:val="20"/>
                <w:lang w:eastAsia="en-GB"/>
              </w:rPr>
              <w:t>/21</w:t>
            </w:r>
          </w:p>
          <w:p w14:paraId="5355EDB5"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13.8%</w:t>
            </w: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228D099B" w14:textId="7D65FC38"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2021</w:t>
            </w:r>
            <w:r w:rsidR="00F83CF9">
              <w:rPr>
                <w:rFonts w:ascii="Arial" w:eastAsia="Calibri" w:hAnsi="Arial" w:cs="Arial"/>
                <w:color w:val="000000" w:themeColor="text1"/>
                <w:kern w:val="24"/>
                <w:sz w:val="20"/>
                <w:szCs w:val="20"/>
                <w:lang w:eastAsia="en-GB"/>
              </w:rPr>
              <w:t>/22</w:t>
            </w:r>
          </w:p>
          <w:p w14:paraId="43B8BB57" w14:textId="31622B20" w:rsidR="00FD75DC" w:rsidRPr="004F29B7" w:rsidRDefault="00FD75DC" w:rsidP="00CE0366">
            <w:pPr>
              <w:spacing w:line="256" w:lineRule="auto"/>
              <w:rPr>
                <w:rFonts w:ascii="Arial" w:eastAsia="Calibri" w:hAnsi="Arial" w:cs="Arial"/>
                <w:b/>
                <w:bCs/>
                <w:color w:val="70AD47" w:themeColor="accent6"/>
                <w:kern w:val="24"/>
                <w:sz w:val="20"/>
                <w:szCs w:val="20"/>
                <w:lang w:eastAsia="en-GB"/>
              </w:rPr>
            </w:pPr>
            <w:r w:rsidRPr="005916CB">
              <w:rPr>
                <w:rFonts w:ascii="Arial" w:eastAsia="Calibri" w:hAnsi="Arial" w:cs="Arial"/>
                <w:b/>
                <w:bCs/>
                <w:color w:val="70AD47" w:themeColor="accent6"/>
                <w:kern w:val="24"/>
                <w:sz w:val="20"/>
                <w:szCs w:val="20"/>
                <w:lang w:eastAsia="en-GB"/>
              </w:rPr>
              <w:t>9.6%</w:t>
            </w:r>
          </w:p>
        </w:tc>
        <w:tc>
          <w:tcPr>
            <w:tcW w:w="1615" w:type="dxa"/>
            <w:tcBorders>
              <w:top w:val="single" w:sz="8" w:space="0" w:color="000000"/>
              <w:left w:val="single" w:sz="8" w:space="0" w:color="000000"/>
              <w:bottom w:val="single" w:sz="8" w:space="0" w:color="000000"/>
              <w:right w:val="single" w:sz="8" w:space="0" w:color="000000"/>
            </w:tcBorders>
          </w:tcPr>
          <w:p w14:paraId="0AA61E8A" w14:textId="29FAF7C3" w:rsidR="008D6763" w:rsidRPr="00747727" w:rsidRDefault="008D6763" w:rsidP="008D6763">
            <w:pPr>
              <w:spacing w:line="256" w:lineRule="auto"/>
              <w:rPr>
                <w:rFonts w:ascii="Arial" w:eastAsia="Calibri" w:hAnsi="Arial" w:cs="Arial"/>
                <w:b/>
                <w:bCs/>
                <w:kern w:val="24"/>
                <w:sz w:val="20"/>
                <w:szCs w:val="20"/>
                <w:lang w:eastAsia="en-GB"/>
              </w:rPr>
            </w:pPr>
            <w:r w:rsidRPr="00747727">
              <w:rPr>
                <w:rFonts w:ascii="Arial" w:eastAsia="Calibri" w:hAnsi="Arial" w:cs="Arial"/>
                <w:b/>
                <w:bCs/>
                <w:kern w:val="24"/>
                <w:sz w:val="20"/>
                <w:szCs w:val="20"/>
                <w:lang w:eastAsia="en-GB"/>
              </w:rPr>
              <w:t>2022</w:t>
            </w:r>
            <w:r w:rsidR="00747727" w:rsidRPr="00747727">
              <w:rPr>
                <w:rFonts w:ascii="Arial" w:eastAsia="Calibri" w:hAnsi="Arial" w:cs="Arial"/>
                <w:b/>
                <w:bCs/>
                <w:kern w:val="24"/>
                <w:sz w:val="20"/>
                <w:szCs w:val="20"/>
                <w:lang w:eastAsia="en-GB"/>
              </w:rPr>
              <w:t>/23</w:t>
            </w:r>
          </w:p>
          <w:p w14:paraId="27E30688" w14:textId="28CCB0F3" w:rsidR="00FD75DC" w:rsidRPr="008D6763" w:rsidRDefault="008D6763" w:rsidP="00CE0366">
            <w:pPr>
              <w:spacing w:line="256" w:lineRule="auto"/>
              <w:rPr>
                <w:rFonts w:ascii="Arial" w:eastAsia="Calibri" w:hAnsi="Arial" w:cs="Arial"/>
                <w:b/>
                <w:bCs/>
                <w:color w:val="000000" w:themeColor="text1"/>
                <w:kern w:val="24"/>
                <w:sz w:val="20"/>
                <w:szCs w:val="20"/>
                <w:lang w:eastAsia="en-GB"/>
              </w:rPr>
            </w:pPr>
            <w:r w:rsidRPr="008D6763">
              <w:rPr>
                <w:rFonts w:ascii="Arial" w:eastAsia="Calibri" w:hAnsi="Arial" w:cs="Arial"/>
                <w:b/>
                <w:bCs/>
                <w:color w:val="FF0000"/>
                <w:kern w:val="24"/>
                <w:sz w:val="20"/>
                <w:szCs w:val="20"/>
                <w:lang w:eastAsia="en-GB"/>
              </w:rPr>
              <w:t>10.2%</w:t>
            </w:r>
          </w:p>
        </w:tc>
      </w:tr>
      <w:tr w:rsidR="00F871AF" w:rsidRPr="005916CB" w14:paraId="7060D953" w14:textId="77777777" w:rsidTr="006330F0">
        <w:trPr>
          <w:trHeight w:val="865"/>
        </w:trPr>
        <w:tc>
          <w:tcPr>
            <w:tcW w:w="13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40CD1925" w14:textId="39FAB239" w:rsidR="00F871AF" w:rsidRDefault="00F871AF" w:rsidP="00F871AF">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Narrative as of Ma</w:t>
            </w:r>
            <w:r w:rsidR="008C566B">
              <w:rPr>
                <w:rFonts w:ascii="Arial" w:eastAsia="Calibri" w:hAnsi="Arial" w:cs="Arial"/>
                <w:b/>
                <w:bCs/>
                <w:kern w:val="24"/>
                <w:sz w:val="20"/>
                <w:szCs w:val="20"/>
                <w:lang w:eastAsia="en-GB"/>
              </w:rPr>
              <w:t xml:space="preserve">y </w:t>
            </w:r>
            <w:r>
              <w:rPr>
                <w:rFonts w:ascii="Arial" w:eastAsia="Calibri" w:hAnsi="Arial" w:cs="Arial"/>
                <w:b/>
                <w:bCs/>
                <w:kern w:val="24"/>
                <w:sz w:val="20"/>
                <w:szCs w:val="20"/>
                <w:lang w:eastAsia="en-GB"/>
              </w:rPr>
              <w:t>2023</w:t>
            </w:r>
          </w:p>
          <w:p w14:paraId="4CA55847" w14:textId="77777777" w:rsidR="004D46F1" w:rsidRDefault="00F53A79" w:rsidP="008D6763">
            <w:pPr>
              <w:spacing w:line="256" w:lineRule="auto"/>
              <w:rPr>
                <w:rFonts w:ascii="Arial" w:eastAsia="Calibri" w:hAnsi="Arial" w:cs="Arial"/>
                <w:kern w:val="24"/>
                <w:sz w:val="20"/>
                <w:szCs w:val="20"/>
                <w:lang w:eastAsia="en-GB"/>
              </w:rPr>
            </w:pPr>
            <w:r w:rsidRPr="00F53A79">
              <w:rPr>
                <w:rFonts w:ascii="Arial" w:eastAsia="Calibri" w:hAnsi="Arial" w:cs="Arial"/>
                <w:kern w:val="24"/>
                <w:sz w:val="20"/>
                <w:szCs w:val="20"/>
                <w:lang w:eastAsia="en-GB"/>
              </w:rPr>
              <w:t xml:space="preserve">The national average </w:t>
            </w:r>
            <w:r w:rsidR="004D46F1">
              <w:rPr>
                <w:rFonts w:ascii="Arial" w:eastAsia="Calibri" w:hAnsi="Arial" w:cs="Arial"/>
                <w:kern w:val="24"/>
                <w:sz w:val="20"/>
                <w:szCs w:val="20"/>
                <w:lang w:eastAsia="en-GB"/>
              </w:rPr>
              <w:t xml:space="preserve">this </w:t>
            </w:r>
            <w:r w:rsidRPr="00F53A79">
              <w:rPr>
                <w:rFonts w:ascii="Arial" w:eastAsia="Calibri" w:hAnsi="Arial" w:cs="Arial"/>
                <w:kern w:val="24"/>
                <w:sz w:val="20"/>
                <w:szCs w:val="20"/>
                <w:lang w:eastAsia="en-GB"/>
              </w:rPr>
              <w:t xml:space="preserve">year </w:t>
            </w:r>
            <w:r w:rsidR="004D46F1">
              <w:rPr>
                <w:rFonts w:ascii="Arial" w:eastAsia="Calibri" w:hAnsi="Arial" w:cs="Arial"/>
                <w:kern w:val="24"/>
                <w:sz w:val="20"/>
                <w:szCs w:val="20"/>
                <w:lang w:eastAsia="en-GB"/>
              </w:rPr>
              <w:t>is</w:t>
            </w:r>
            <w:r w:rsidRPr="00F53A79">
              <w:rPr>
                <w:rFonts w:ascii="Arial" w:eastAsia="Calibri" w:hAnsi="Arial" w:cs="Arial"/>
                <w:kern w:val="24"/>
                <w:sz w:val="20"/>
                <w:szCs w:val="20"/>
                <w:lang w:eastAsia="en-GB"/>
              </w:rPr>
              <w:t xml:space="preserve"> benchmark</w:t>
            </w:r>
            <w:r w:rsidR="004D46F1">
              <w:rPr>
                <w:rFonts w:ascii="Arial" w:eastAsia="Calibri" w:hAnsi="Arial" w:cs="Arial"/>
                <w:kern w:val="24"/>
                <w:sz w:val="20"/>
                <w:szCs w:val="20"/>
                <w:lang w:eastAsia="en-GB"/>
              </w:rPr>
              <w:t>ed by</w:t>
            </w:r>
            <w:r w:rsidRPr="00F53A79">
              <w:rPr>
                <w:rFonts w:ascii="Arial" w:eastAsia="Calibri" w:hAnsi="Arial" w:cs="Arial"/>
                <w:kern w:val="24"/>
                <w:sz w:val="20"/>
                <w:szCs w:val="20"/>
                <w:lang w:eastAsia="en-GB"/>
              </w:rPr>
              <w:t xml:space="preserve"> comparison </w:t>
            </w:r>
            <w:r w:rsidR="004D46F1">
              <w:rPr>
                <w:rFonts w:ascii="Arial" w:eastAsia="Calibri" w:hAnsi="Arial" w:cs="Arial"/>
                <w:kern w:val="24"/>
                <w:sz w:val="20"/>
                <w:szCs w:val="20"/>
                <w:lang w:eastAsia="en-GB"/>
              </w:rPr>
              <w:t xml:space="preserve">at </w:t>
            </w:r>
            <w:r w:rsidRPr="00F53A79">
              <w:rPr>
                <w:rFonts w:ascii="Arial" w:eastAsia="Calibri" w:hAnsi="Arial" w:cs="Arial"/>
                <w:kern w:val="24"/>
                <w:sz w:val="20"/>
                <w:szCs w:val="20"/>
                <w:lang w:eastAsia="en-GB"/>
              </w:rPr>
              <w:t>13.6</w:t>
            </w:r>
            <w:r w:rsidR="005418F2" w:rsidRPr="00F53A79">
              <w:rPr>
                <w:rFonts w:ascii="Arial" w:eastAsia="Calibri" w:hAnsi="Arial" w:cs="Arial"/>
                <w:kern w:val="24"/>
                <w:sz w:val="20"/>
                <w:szCs w:val="20"/>
                <w:lang w:eastAsia="en-GB"/>
              </w:rPr>
              <w:t>%</w:t>
            </w:r>
            <w:r w:rsidR="004D46F1">
              <w:rPr>
                <w:rFonts w:ascii="Arial" w:eastAsia="Calibri" w:hAnsi="Arial" w:cs="Arial"/>
                <w:kern w:val="24"/>
                <w:sz w:val="20"/>
                <w:szCs w:val="20"/>
                <w:lang w:eastAsia="en-GB"/>
              </w:rPr>
              <w:t>.</w:t>
            </w:r>
          </w:p>
          <w:p w14:paraId="23402F3C" w14:textId="29299840" w:rsidR="00187ADC" w:rsidRPr="005418F2" w:rsidRDefault="003D3474" w:rsidP="008D6763">
            <w:pPr>
              <w:spacing w:line="256" w:lineRule="auto"/>
              <w:rPr>
                <w:rFonts w:ascii="Arial" w:eastAsia="Calibri" w:hAnsi="Arial" w:cs="Arial"/>
                <w:kern w:val="24"/>
                <w:sz w:val="20"/>
                <w:szCs w:val="20"/>
                <w:lang w:eastAsia="en-GB"/>
              </w:rPr>
            </w:pPr>
            <w:r>
              <w:rPr>
                <w:rFonts w:ascii="Arial" w:eastAsia="Calibri" w:hAnsi="Arial" w:cs="Arial"/>
                <w:kern w:val="24"/>
                <w:sz w:val="20"/>
                <w:szCs w:val="20"/>
                <w:lang w:eastAsia="en-GB"/>
              </w:rPr>
              <w:t xml:space="preserve">In Solent </w:t>
            </w:r>
            <w:r w:rsidR="006F5AF4">
              <w:rPr>
                <w:rFonts w:ascii="Arial" w:eastAsia="Calibri" w:hAnsi="Arial" w:cs="Arial"/>
                <w:kern w:val="24"/>
                <w:sz w:val="20"/>
                <w:szCs w:val="20"/>
                <w:lang w:eastAsia="en-GB"/>
              </w:rPr>
              <w:t xml:space="preserve">there has been an increase </w:t>
            </w:r>
            <w:r w:rsidR="004E0C4B">
              <w:rPr>
                <w:rFonts w:ascii="Arial" w:eastAsia="Calibri" w:hAnsi="Arial" w:cs="Arial"/>
                <w:kern w:val="24"/>
                <w:sz w:val="20"/>
                <w:szCs w:val="20"/>
                <w:lang w:eastAsia="en-GB"/>
              </w:rPr>
              <w:t xml:space="preserve">or </w:t>
            </w:r>
            <w:r>
              <w:rPr>
                <w:rFonts w:ascii="Arial" w:eastAsia="Calibri" w:hAnsi="Arial" w:cs="Arial"/>
                <w:kern w:val="24"/>
                <w:sz w:val="20"/>
                <w:szCs w:val="20"/>
                <w:lang w:eastAsia="en-GB"/>
              </w:rPr>
              <w:t>0</w:t>
            </w:r>
            <w:r w:rsidR="004E0C4B">
              <w:rPr>
                <w:rFonts w:ascii="Arial" w:eastAsia="Calibri" w:hAnsi="Arial" w:cs="Arial"/>
                <w:kern w:val="24"/>
                <w:sz w:val="20"/>
                <w:szCs w:val="20"/>
                <w:lang w:eastAsia="en-GB"/>
              </w:rPr>
              <w:t xml:space="preserve">.6% for ethnic minority colleagues </w:t>
            </w:r>
            <w:r w:rsidR="004E0C4B" w:rsidRPr="004E0C4B">
              <w:rPr>
                <w:rFonts w:ascii="Arial" w:eastAsia="Calibri" w:hAnsi="Arial" w:cs="Arial"/>
                <w:kern w:val="24"/>
                <w:sz w:val="20"/>
                <w:szCs w:val="20"/>
                <w:lang w:eastAsia="en-GB"/>
              </w:rPr>
              <w:t>experiencing discrimination at work from manager / team leader or other colleagues in the last 12 months</w:t>
            </w:r>
            <w:r w:rsidR="004E0C4B">
              <w:rPr>
                <w:rFonts w:ascii="Arial" w:eastAsia="Calibri" w:hAnsi="Arial" w:cs="Arial"/>
                <w:kern w:val="24"/>
                <w:sz w:val="20"/>
                <w:szCs w:val="20"/>
                <w:lang w:eastAsia="en-GB"/>
              </w:rPr>
              <w:t>.</w:t>
            </w:r>
            <w:r w:rsidR="007F79B2">
              <w:rPr>
                <w:rFonts w:ascii="Arial" w:eastAsia="Calibri" w:hAnsi="Arial" w:cs="Arial"/>
                <w:kern w:val="24"/>
                <w:sz w:val="20"/>
                <w:szCs w:val="20"/>
                <w:lang w:eastAsia="en-GB"/>
              </w:rPr>
              <w:t xml:space="preserve"> The response rate for this </w:t>
            </w:r>
            <w:r w:rsidR="005418F2">
              <w:rPr>
                <w:rFonts w:ascii="Arial" w:eastAsia="Calibri" w:hAnsi="Arial" w:cs="Arial"/>
                <w:kern w:val="24"/>
                <w:sz w:val="20"/>
                <w:szCs w:val="20"/>
                <w:lang w:eastAsia="en-GB"/>
              </w:rPr>
              <w:t>indicator</w:t>
            </w:r>
            <w:r w:rsidR="007F79B2">
              <w:rPr>
                <w:rFonts w:ascii="Arial" w:eastAsia="Calibri" w:hAnsi="Arial" w:cs="Arial"/>
                <w:kern w:val="24"/>
                <w:sz w:val="20"/>
                <w:szCs w:val="20"/>
                <w:lang w:eastAsia="en-GB"/>
              </w:rPr>
              <w:t xml:space="preserve"> has </w:t>
            </w:r>
            <w:r w:rsidR="005418F2">
              <w:rPr>
                <w:rFonts w:ascii="Arial" w:eastAsia="Calibri" w:hAnsi="Arial" w:cs="Arial"/>
                <w:kern w:val="24"/>
                <w:sz w:val="20"/>
                <w:szCs w:val="20"/>
                <w:lang w:eastAsia="en-GB"/>
              </w:rPr>
              <w:t>gone</w:t>
            </w:r>
            <w:r w:rsidR="007F79B2">
              <w:rPr>
                <w:rFonts w:ascii="Arial" w:eastAsia="Calibri" w:hAnsi="Arial" w:cs="Arial"/>
                <w:kern w:val="24"/>
                <w:sz w:val="20"/>
                <w:szCs w:val="20"/>
                <w:lang w:eastAsia="en-GB"/>
              </w:rPr>
              <w:t xml:space="preserve"> </w:t>
            </w:r>
            <w:r w:rsidR="005418F2">
              <w:rPr>
                <w:rFonts w:ascii="Arial" w:eastAsia="Calibri" w:hAnsi="Arial" w:cs="Arial"/>
                <w:kern w:val="24"/>
                <w:sz w:val="20"/>
                <w:szCs w:val="20"/>
                <w:lang w:eastAsia="en-GB"/>
              </w:rPr>
              <w:t>from</w:t>
            </w:r>
            <w:r w:rsidR="007F79B2">
              <w:rPr>
                <w:rFonts w:ascii="Arial" w:eastAsia="Calibri" w:hAnsi="Arial" w:cs="Arial"/>
                <w:kern w:val="24"/>
                <w:sz w:val="20"/>
                <w:szCs w:val="20"/>
                <w:lang w:eastAsia="en-GB"/>
              </w:rPr>
              <w:t xml:space="preserve"> 219 to 246, an increase of </w:t>
            </w:r>
            <w:r w:rsidR="005418F2">
              <w:rPr>
                <w:rFonts w:ascii="Arial" w:eastAsia="Calibri" w:hAnsi="Arial" w:cs="Arial"/>
                <w:kern w:val="24"/>
                <w:sz w:val="20"/>
                <w:szCs w:val="20"/>
                <w:lang w:eastAsia="en-GB"/>
              </w:rPr>
              <w:t xml:space="preserve">27. A </w:t>
            </w:r>
            <w:r w:rsidR="008C566B">
              <w:rPr>
                <w:rFonts w:ascii="Arial" w:eastAsia="Calibri" w:hAnsi="Arial" w:cs="Arial"/>
                <w:kern w:val="24"/>
                <w:sz w:val="20"/>
                <w:szCs w:val="20"/>
                <w:lang w:eastAsia="en-GB"/>
              </w:rPr>
              <w:t>spotlight</w:t>
            </w:r>
            <w:r w:rsidR="005418F2">
              <w:rPr>
                <w:rFonts w:ascii="Arial" w:eastAsia="Calibri" w:hAnsi="Arial" w:cs="Arial"/>
                <w:kern w:val="24"/>
                <w:sz w:val="20"/>
                <w:szCs w:val="20"/>
                <w:lang w:eastAsia="en-GB"/>
              </w:rPr>
              <w:t xml:space="preserve"> needs to remain on this to ensure that this does not continue to climb and a deeper look by People Partners needs to consider service line data so that targeted interventions can be put in place.</w:t>
            </w:r>
          </w:p>
        </w:tc>
      </w:tr>
      <w:tr w:rsidR="004D7593" w:rsidRPr="005916CB" w14:paraId="25026413" w14:textId="77777777" w:rsidTr="00E55176">
        <w:trPr>
          <w:trHeight w:val="865"/>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3A75E3A9" w14:textId="77777777" w:rsidR="004D7593" w:rsidRDefault="004D7593" w:rsidP="00F871AF">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 xml:space="preserve">Action </w:t>
            </w:r>
          </w:p>
          <w:p w14:paraId="46B0ACE5" w14:textId="5060A79F" w:rsidR="002307BA" w:rsidRPr="00675D6A" w:rsidRDefault="00DF574F" w:rsidP="00F871AF">
            <w:pPr>
              <w:spacing w:line="256" w:lineRule="auto"/>
              <w:rPr>
                <w:rFonts w:ascii="Arial" w:eastAsia="Calibri" w:hAnsi="Arial" w:cs="Arial"/>
                <w:kern w:val="24"/>
                <w:sz w:val="20"/>
                <w:szCs w:val="20"/>
                <w:lang w:eastAsia="en-GB"/>
              </w:rPr>
            </w:pPr>
            <w:r w:rsidRPr="00675D6A">
              <w:rPr>
                <w:rFonts w:ascii="Arial" w:eastAsia="Calibri" w:hAnsi="Arial" w:cs="Arial"/>
                <w:kern w:val="24"/>
                <w:sz w:val="20"/>
                <w:szCs w:val="20"/>
                <w:lang w:eastAsia="en-GB"/>
              </w:rPr>
              <w:t xml:space="preserve">To reduce discrimination and educate and raise awareness </w:t>
            </w:r>
            <w:r w:rsidR="00675D6A" w:rsidRPr="00675D6A">
              <w:rPr>
                <w:rFonts w:ascii="Arial" w:eastAsia="Calibri" w:hAnsi="Arial" w:cs="Arial"/>
                <w:kern w:val="24"/>
                <w:sz w:val="20"/>
                <w:szCs w:val="20"/>
                <w:lang w:eastAsia="en-GB"/>
              </w:rPr>
              <w:t xml:space="preserve">that support inclusive culture </w:t>
            </w: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7BBFC1AE" w14:textId="77777777" w:rsidR="004D7593" w:rsidRDefault="004D7593" w:rsidP="00F871AF">
            <w:pPr>
              <w:spacing w:line="256" w:lineRule="auto"/>
              <w:rPr>
                <w:rFonts w:ascii="Arial" w:eastAsia="Calibri" w:hAnsi="Arial" w:cs="Arial"/>
                <w:b/>
                <w:bCs/>
                <w:kern w:val="24"/>
                <w:sz w:val="20"/>
                <w:szCs w:val="20"/>
                <w:lang w:eastAsia="en-GB"/>
              </w:rPr>
            </w:pPr>
            <w:r>
              <w:rPr>
                <w:rFonts w:ascii="Arial" w:eastAsia="Calibri" w:hAnsi="Arial" w:cs="Arial"/>
                <w:b/>
                <w:bCs/>
                <w:kern w:val="24"/>
                <w:sz w:val="20"/>
                <w:szCs w:val="20"/>
                <w:lang w:eastAsia="en-GB"/>
              </w:rPr>
              <w:t>Outputs / Outcomes</w:t>
            </w:r>
          </w:p>
          <w:p w14:paraId="256DFD77" w14:textId="77777777" w:rsidR="00675D6A" w:rsidRDefault="00675D6A" w:rsidP="00675D6A">
            <w:pPr>
              <w:pStyle w:val="ListParagraph"/>
              <w:numPr>
                <w:ilvl w:val="0"/>
                <w:numId w:val="27"/>
              </w:numPr>
              <w:spacing w:line="256" w:lineRule="auto"/>
              <w:rPr>
                <w:rFonts w:ascii="Arial" w:eastAsia="Calibri" w:hAnsi="Arial" w:cs="Arial"/>
                <w:kern w:val="24"/>
                <w:sz w:val="20"/>
                <w:szCs w:val="20"/>
              </w:rPr>
            </w:pPr>
            <w:r w:rsidRPr="0094702B">
              <w:rPr>
                <w:rFonts w:ascii="Arial" w:eastAsia="Calibri" w:hAnsi="Arial" w:cs="Arial"/>
                <w:kern w:val="24"/>
                <w:sz w:val="20"/>
                <w:szCs w:val="20"/>
              </w:rPr>
              <w:t xml:space="preserve">Implementation of Kind Life </w:t>
            </w:r>
          </w:p>
          <w:p w14:paraId="0D1F6BF5" w14:textId="7B8C95E7" w:rsidR="0094702B" w:rsidRPr="0094702B" w:rsidRDefault="0094702B" w:rsidP="00675D6A">
            <w:pPr>
              <w:pStyle w:val="ListParagraph"/>
              <w:numPr>
                <w:ilvl w:val="0"/>
                <w:numId w:val="27"/>
              </w:numPr>
              <w:spacing w:line="256" w:lineRule="auto"/>
              <w:rPr>
                <w:rFonts w:ascii="Arial" w:eastAsia="Calibri" w:hAnsi="Arial" w:cs="Arial"/>
                <w:kern w:val="24"/>
                <w:sz w:val="20"/>
                <w:szCs w:val="20"/>
              </w:rPr>
            </w:pPr>
            <w:r>
              <w:rPr>
                <w:rFonts w:ascii="Arial" w:eastAsia="Calibri" w:hAnsi="Arial" w:cs="Arial"/>
                <w:kern w:val="24"/>
                <w:sz w:val="20"/>
                <w:szCs w:val="20"/>
              </w:rPr>
              <w:t xml:space="preserve">Implementation of </w:t>
            </w:r>
            <w:proofErr w:type="spellStart"/>
            <w:r>
              <w:rPr>
                <w:rFonts w:ascii="Arial" w:eastAsia="Calibri" w:hAnsi="Arial" w:cs="Arial"/>
                <w:kern w:val="24"/>
                <w:sz w:val="20"/>
                <w:szCs w:val="20"/>
              </w:rPr>
              <w:t>KindER</w:t>
            </w:r>
            <w:proofErr w:type="spellEnd"/>
            <w:r>
              <w:rPr>
                <w:rFonts w:ascii="Arial" w:eastAsia="Calibri" w:hAnsi="Arial" w:cs="Arial"/>
                <w:kern w:val="24"/>
                <w:sz w:val="20"/>
                <w:szCs w:val="20"/>
              </w:rPr>
              <w:t xml:space="preserve"> – respectful resolution </w:t>
            </w:r>
          </w:p>
          <w:p w14:paraId="74BCA018" w14:textId="5E88C254" w:rsidR="00675D6A" w:rsidRPr="0094702B" w:rsidRDefault="00675D6A" w:rsidP="00675D6A">
            <w:pPr>
              <w:pStyle w:val="ListParagraph"/>
              <w:numPr>
                <w:ilvl w:val="0"/>
                <w:numId w:val="27"/>
              </w:numPr>
              <w:spacing w:line="256" w:lineRule="auto"/>
              <w:rPr>
                <w:rFonts w:ascii="Arial" w:eastAsia="Calibri" w:hAnsi="Arial" w:cs="Arial"/>
                <w:b/>
                <w:bCs/>
                <w:kern w:val="24"/>
                <w:sz w:val="20"/>
                <w:szCs w:val="20"/>
              </w:rPr>
            </w:pPr>
            <w:r w:rsidRPr="0094702B">
              <w:rPr>
                <w:rFonts w:ascii="Arial" w:eastAsia="Calibri" w:hAnsi="Arial" w:cs="Arial"/>
                <w:kern w:val="24"/>
                <w:sz w:val="20"/>
                <w:szCs w:val="20"/>
              </w:rPr>
              <w:t xml:space="preserve">Implementation of inclusive language, </w:t>
            </w:r>
            <w:r w:rsidR="0094702B" w:rsidRPr="0094702B">
              <w:rPr>
                <w:rFonts w:ascii="Arial" w:eastAsia="Calibri" w:hAnsi="Arial" w:cs="Arial"/>
                <w:kern w:val="24"/>
                <w:sz w:val="20"/>
                <w:szCs w:val="20"/>
              </w:rPr>
              <w:t>activity allyship,</w:t>
            </w:r>
            <w:r w:rsidRPr="0094702B">
              <w:rPr>
                <w:rFonts w:ascii="Arial" w:eastAsia="Calibri" w:hAnsi="Arial" w:cs="Arial"/>
                <w:kern w:val="24"/>
                <w:sz w:val="20"/>
                <w:szCs w:val="20"/>
              </w:rPr>
              <w:t xml:space="preserve"> </w:t>
            </w:r>
            <w:r w:rsidR="0094702B" w:rsidRPr="0094702B">
              <w:rPr>
                <w:rFonts w:ascii="Arial" w:eastAsia="Calibri" w:hAnsi="Arial" w:cs="Arial"/>
                <w:kern w:val="24"/>
                <w:sz w:val="20"/>
                <w:szCs w:val="20"/>
              </w:rPr>
              <w:t>privilege and bias workshops</w:t>
            </w:r>
          </w:p>
          <w:p w14:paraId="2B868BB9" w14:textId="77777777" w:rsidR="0094702B" w:rsidRDefault="0094702B" w:rsidP="00675D6A">
            <w:pPr>
              <w:pStyle w:val="ListParagraph"/>
              <w:numPr>
                <w:ilvl w:val="0"/>
                <w:numId w:val="27"/>
              </w:numPr>
              <w:spacing w:line="256" w:lineRule="auto"/>
              <w:rPr>
                <w:rFonts w:ascii="Arial" w:eastAsia="Calibri" w:hAnsi="Arial" w:cs="Arial"/>
                <w:kern w:val="24"/>
                <w:sz w:val="20"/>
                <w:szCs w:val="20"/>
              </w:rPr>
            </w:pPr>
            <w:r w:rsidRPr="0094702B">
              <w:rPr>
                <w:rFonts w:ascii="Arial" w:eastAsia="Calibri" w:hAnsi="Arial" w:cs="Arial"/>
                <w:kern w:val="24"/>
                <w:sz w:val="20"/>
                <w:szCs w:val="20"/>
              </w:rPr>
              <w:t xml:space="preserve">EDI and lived experience on case reviews </w:t>
            </w:r>
          </w:p>
          <w:p w14:paraId="54E3C007" w14:textId="77777777" w:rsidR="0094702B" w:rsidRDefault="0094702B" w:rsidP="00675D6A">
            <w:pPr>
              <w:pStyle w:val="ListParagraph"/>
              <w:numPr>
                <w:ilvl w:val="0"/>
                <w:numId w:val="27"/>
              </w:numPr>
              <w:spacing w:line="256" w:lineRule="auto"/>
              <w:rPr>
                <w:rFonts w:ascii="Arial" w:eastAsia="Calibri" w:hAnsi="Arial" w:cs="Arial"/>
                <w:kern w:val="24"/>
                <w:sz w:val="20"/>
                <w:szCs w:val="20"/>
              </w:rPr>
            </w:pPr>
            <w:r>
              <w:rPr>
                <w:rFonts w:ascii="Arial" w:eastAsia="Calibri" w:hAnsi="Arial" w:cs="Arial"/>
                <w:kern w:val="24"/>
                <w:sz w:val="20"/>
                <w:szCs w:val="20"/>
              </w:rPr>
              <w:t>Lived experience and staff stories at Board and SLT</w:t>
            </w:r>
          </w:p>
          <w:p w14:paraId="09A89FAD" w14:textId="44334BE3" w:rsidR="002605F6" w:rsidRPr="0094702B" w:rsidRDefault="002605F6" w:rsidP="00675D6A">
            <w:pPr>
              <w:pStyle w:val="ListParagraph"/>
              <w:numPr>
                <w:ilvl w:val="0"/>
                <w:numId w:val="27"/>
              </w:numPr>
              <w:spacing w:line="256" w:lineRule="auto"/>
              <w:rPr>
                <w:rFonts w:ascii="Arial" w:eastAsia="Calibri" w:hAnsi="Arial" w:cs="Arial"/>
                <w:kern w:val="24"/>
                <w:sz w:val="20"/>
                <w:szCs w:val="20"/>
              </w:rPr>
            </w:pPr>
            <w:r>
              <w:rPr>
                <w:rFonts w:ascii="Arial" w:eastAsia="Calibri" w:hAnsi="Arial" w:cs="Arial"/>
                <w:kern w:val="24"/>
                <w:sz w:val="20"/>
                <w:szCs w:val="20"/>
              </w:rPr>
              <w:t>EDIB objectives and accountability through PRMS</w:t>
            </w:r>
          </w:p>
        </w:tc>
      </w:tr>
      <w:tr w:rsidR="00FD75DC" w:rsidRPr="00CE0366" w14:paraId="3EFE6EF3" w14:textId="03B4F4B3" w:rsidTr="006330F0">
        <w:trPr>
          <w:trHeight w:val="416"/>
        </w:trPr>
        <w:tc>
          <w:tcPr>
            <w:tcW w:w="12323" w:type="dxa"/>
            <w:gridSpan w:val="5"/>
            <w:tcBorders>
              <w:top w:val="single" w:sz="8" w:space="0" w:color="000000"/>
              <w:left w:val="single" w:sz="8" w:space="0" w:color="000000"/>
              <w:bottom w:val="single" w:sz="8" w:space="0" w:color="000000"/>
              <w:right w:val="single" w:sz="8" w:space="0" w:color="000000"/>
            </w:tcBorders>
            <w:shd w:val="clear" w:color="auto" w:fill="00B0F0"/>
            <w:tcMar>
              <w:top w:w="15" w:type="dxa"/>
              <w:left w:w="100" w:type="dxa"/>
              <w:bottom w:w="0" w:type="dxa"/>
              <w:right w:w="100" w:type="dxa"/>
            </w:tcMar>
            <w:hideMark/>
          </w:tcPr>
          <w:p w14:paraId="5B96B083" w14:textId="77777777" w:rsidR="00FD75DC" w:rsidRPr="00CE0366" w:rsidRDefault="00FD75DC" w:rsidP="00CE0366">
            <w:pPr>
              <w:spacing w:line="256" w:lineRule="auto"/>
              <w:rPr>
                <w:rFonts w:ascii="Arial" w:eastAsia="Times New Roman" w:hAnsi="Arial" w:cs="Arial"/>
                <w:b/>
                <w:bCs/>
                <w:sz w:val="20"/>
                <w:szCs w:val="20"/>
                <w:lang w:eastAsia="en-GB"/>
              </w:rPr>
            </w:pPr>
            <w:r w:rsidRPr="00CE0366">
              <w:rPr>
                <w:rFonts w:ascii="Arial" w:eastAsia="Calibri" w:hAnsi="Arial" w:cs="Arial"/>
                <w:b/>
                <w:bCs/>
                <w:color w:val="000000"/>
                <w:kern w:val="24"/>
                <w:sz w:val="20"/>
                <w:szCs w:val="20"/>
                <w:lang w:eastAsia="en-GB"/>
              </w:rPr>
              <w:t>Data from ESR</w:t>
            </w:r>
          </w:p>
        </w:tc>
        <w:tc>
          <w:tcPr>
            <w:tcW w:w="1615" w:type="dxa"/>
            <w:tcBorders>
              <w:top w:val="single" w:sz="8" w:space="0" w:color="000000"/>
              <w:left w:val="single" w:sz="8" w:space="0" w:color="000000"/>
              <w:bottom w:val="single" w:sz="8" w:space="0" w:color="000000"/>
              <w:right w:val="single" w:sz="8" w:space="0" w:color="000000"/>
            </w:tcBorders>
            <w:shd w:val="clear" w:color="auto" w:fill="00B0F0"/>
          </w:tcPr>
          <w:p w14:paraId="501C1AEB" w14:textId="77777777" w:rsidR="00FD75DC" w:rsidRPr="00CE0366" w:rsidRDefault="00FD75DC" w:rsidP="00CE0366">
            <w:pPr>
              <w:spacing w:line="256" w:lineRule="auto"/>
              <w:rPr>
                <w:rFonts w:ascii="Arial" w:eastAsia="Calibri" w:hAnsi="Arial" w:cs="Arial"/>
                <w:b/>
                <w:bCs/>
                <w:color w:val="000000"/>
                <w:kern w:val="24"/>
                <w:sz w:val="20"/>
                <w:szCs w:val="20"/>
                <w:lang w:eastAsia="en-GB"/>
              </w:rPr>
            </w:pPr>
          </w:p>
        </w:tc>
      </w:tr>
      <w:tr w:rsidR="00FD75DC" w:rsidRPr="00CE0366" w14:paraId="178ACFD9" w14:textId="4E40ADF2" w:rsidTr="006330F0">
        <w:trPr>
          <w:trHeight w:val="416"/>
        </w:trPr>
        <w:tc>
          <w:tcPr>
            <w:tcW w:w="5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41F3468E" w14:textId="77777777" w:rsidR="00FD75DC" w:rsidRPr="00CE0366" w:rsidRDefault="00FD75DC" w:rsidP="00CE0366">
            <w:pPr>
              <w:spacing w:line="256" w:lineRule="auto"/>
              <w:rPr>
                <w:rFonts w:ascii="Arial" w:eastAsia="Times New Roman" w:hAnsi="Arial" w:cs="Arial"/>
                <w:sz w:val="20"/>
                <w:szCs w:val="20"/>
                <w:lang w:eastAsia="en-GB"/>
              </w:rPr>
            </w:pPr>
            <w:r w:rsidRPr="00CE0366">
              <w:rPr>
                <w:rFonts w:ascii="Arial" w:eastAsia="Calibri" w:hAnsi="Arial" w:cs="Arial"/>
                <w:color w:val="000000" w:themeColor="text1"/>
                <w:kern w:val="24"/>
                <w:sz w:val="20"/>
                <w:szCs w:val="20"/>
                <w:lang w:eastAsia="en-GB"/>
              </w:rPr>
              <w:t>9.</w:t>
            </w:r>
          </w:p>
        </w:tc>
        <w:tc>
          <w:tcPr>
            <w:tcW w:w="1180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0" w:type="dxa"/>
              <w:bottom w:w="0" w:type="dxa"/>
              <w:right w:w="100" w:type="dxa"/>
            </w:tcMar>
            <w:hideMark/>
          </w:tcPr>
          <w:p w14:paraId="2CE68D1B"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CE0366">
              <w:rPr>
                <w:rFonts w:ascii="Arial" w:eastAsia="Calibri" w:hAnsi="Arial" w:cs="Arial"/>
                <w:color w:val="000000" w:themeColor="text1"/>
                <w:kern w:val="24"/>
                <w:sz w:val="20"/>
                <w:szCs w:val="20"/>
                <w:lang w:eastAsia="en-GB"/>
              </w:rPr>
              <w:t>BAME board membership</w:t>
            </w:r>
            <w:r w:rsidRPr="005916CB">
              <w:rPr>
                <w:rFonts w:ascii="Arial" w:eastAsia="Calibri" w:hAnsi="Arial" w:cs="Arial"/>
                <w:color w:val="000000" w:themeColor="text1"/>
                <w:kern w:val="24"/>
                <w:sz w:val="20"/>
                <w:szCs w:val="20"/>
                <w:lang w:eastAsia="en-GB"/>
              </w:rPr>
              <w:t xml:space="preserve"> - Percentage difference between the Board’s voting membership and its overall workforce</w:t>
            </w:r>
          </w:p>
          <w:p w14:paraId="23BFFE48" w14:textId="77777777" w:rsidR="00FD75DC" w:rsidRPr="00CE0366" w:rsidRDefault="00FD75DC" w:rsidP="00CE0366">
            <w:pPr>
              <w:spacing w:line="256" w:lineRule="auto"/>
              <w:rPr>
                <w:rFonts w:ascii="Arial" w:eastAsia="Times New Roman" w:hAnsi="Arial" w:cs="Arial"/>
                <w:b/>
                <w:bCs/>
                <w:sz w:val="20"/>
                <w:szCs w:val="20"/>
                <w:lang w:eastAsia="en-GB"/>
              </w:rPr>
            </w:pPr>
            <w:r w:rsidRPr="005916CB">
              <w:rPr>
                <w:rFonts w:ascii="Arial" w:eastAsia="Calibri" w:hAnsi="Arial" w:cs="Arial"/>
                <w:b/>
                <w:bCs/>
                <w:color w:val="000000" w:themeColor="text1"/>
                <w:kern w:val="24"/>
                <w:sz w:val="20"/>
                <w:szCs w:val="20"/>
                <w:lang w:eastAsia="en-GB"/>
              </w:rPr>
              <w:t>Target: Increase diversity of board membership when vacancies arise.</w:t>
            </w:r>
          </w:p>
        </w:tc>
        <w:tc>
          <w:tcPr>
            <w:tcW w:w="1615"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1811FFD" w14:textId="77777777" w:rsidR="0073324D" w:rsidRDefault="0073324D" w:rsidP="0073324D">
            <w:pPr>
              <w:spacing w:after="0" w:line="256" w:lineRule="auto"/>
              <w:contextualSpacing/>
              <w:rPr>
                <w:rFonts w:ascii="Arial" w:eastAsia="Calibri" w:hAnsi="Arial" w:cs="Arial"/>
                <w:b/>
                <w:bCs/>
                <w:color w:val="000000" w:themeColor="text1"/>
                <w:kern w:val="24"/>
                <w:sz w:val="20"/>
                <w:szCs w:val="20"/>
                <w:lang w:eastAsia="en-GB"/>
              </w:rPr>
            </w:pPr>
            <w:r w:rsidRPr="00565F06">
              <w:rPr>
                <w:rFonts w:ascii="Arial" w:eastAsia="Calibri" w:hAnsi="Arial" w:cs="Arial"/>
                <w:b/>
                <w:bCs/>
                <w:color w:val="000000" w:themeColor="text1"/>
                <w:kern w:val="24"/>
                <w:sz w:val="20"/>
                <w:szCs w:val="20"/>
                <w:lang w:eastAsia="en-GB"/>
              </w:rPr>
              <w:t>Revised targe</w:t>
            </w:r>
            <w:r>
              <w:rPr>
                <w:rFonts w:ascii="Arial" w:eastAsia="Calibri" w:hAnsi="Arial" w:cs="Arial"/>
                <w:b/>
                <w:bCs/>
                <w:color w:val="000000" w:themeColor="text1"/>
                <w:kern w:val="24"/>
                <w:sz w:val="20"/>
                <w:szCs w:val="20"/>
                <w:lang w:eastAsia="en-GB"/>
              </w:rPr>
              <w:t>t</w:t>
            </w:r>
            <w:r w:rsidRPr="00565F06">
              <w:rPr>
                <w:rFonts w:ascii="Arial" w:eastAsia="Calibri" w:hAnsi="Arial" w:cs="Arial"/>
                <w:b/>
                <w:bCs/>
                <w:color w:val="000000" w:themeColor="text1"/>
                <w:kern w:val="24"/>
                <w:sz w:val="20"/>
                <w:szCs w:val="20"/>
                <w:lang w:eastAsia="en-GB"/>
              </w:rPr>
              <w:t xml:space="preserve"> </w:t>
            </w:r>
            <w:r>
              <w:rPr>
                <w:rFonts w:ascii="Arial" w:eastAsia="Calibri" w:hAnsi="Arial" w:cs="Arial"/>
                <w:b/>
                <w:bCs/>
                <w:color w:val="000000" w:themeColor="text1"/>
                <w:kern w:val="24"/>
                <w:sz w:val="20"/>
                <w:szCs w:val="20"/>
                <w:lang w:eastAsia="en-GB"/>
              </w:rPr>
              <w:t xml:space="preserve">for Sept 23 </w:t>
            </w:r>
            <w:r w:rsidRPr="00565F06">
              <w:rPr>
                <w:rFonts w:ascii="Arial" w:eastAsia="Calibri" w:hAnsi="Arial" w:cs="Arial"/>
                <w:b/>
                <w:bCs/>
                <w:color w:val="000000" w:themeColor="text1"/>
                <w:kern w:val="24"/>
                <w:sz w:val="20"/>
                <w:szCs w:val="20"/>
                <w:lang w:eastAsia="en-GB"/>
              </w:rPr>
              <w:t>TBC</w:t>
            </w:r>
          </w:p>
          <w:p w14:paraId="225DEC44" w14:textId="77777777" w:rsidR="00FD75DC" w:rsidRPr="00CE0366" w:rsidRDefault="00FD75DC" w:rsidP="00CE0366">
            <w:pPr>
              <w:spacing w:line="256" w:lineRule="auto"/>
              <w:rPr>
                <w:rFonts w:ascii="Arial" w:eastAsia="Calibri" w:hAnsi="Arial" w:cs="Arial"/>
                <w:color w:val="000000" w:themeColor="text1"/>
                <w:kern w:val="24"/>
                <w:sz w:val="20"/>
                <w:szCs w:val="20"/>
                <w:lang w:eastAsia="en-GB"/>
              </w:rPr>
            </w:pPr>
          </w:p>
        </w:tc>
      </w:tr>
      <w:tr w:rsidR="00FD75DC" w:rsidRPr="005916CB" w14:paraId="03F956C0" w14:textId="0A20F8FC" w:rsidTr="00624F9E">
        <w:trPr>
          <w:trHeight w:val="416"/>
        </w:trPr>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14:paraId="43547A72" w14:textId="0D124C3C"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2019</w:t>
            </w:r>
            <w:r w:rsidR="00F83CF9">
              <w:rPr>
                <w:rFonts w:ascii="Arial" w:eastAsia="Calibri" w:hAnsi="Arial" w:cs="Arial"/>
                <w:color w:val="000000" w:themeColor="text1"/>
                <w:kern w:val="24"/>
                <w:sz w:val="20"/>
                <w:szCs w:val="20"/>
                <w:lang w:eastAsia="en-GB"/>
              </w:rPr>
              <w:t>/20</w:t>
            </w:r>
          </w:p>
          <w:p w14:paraId="1AEA2D40"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15.4% BAME Board members</w:t>
            </w:r>
          </w:p>
          <w:p w14:paraId="24D6AED1"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lastRenderedPageBreak/>
              <w:t>18.2% Voting BAME Board members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5AFD551A" w14:textId="73B6DBE4" w:rsidR="00FD75DC" w:rsidRPr="005916CB"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lastRenderedPageBreak/>
              <w:t>2020</w:t>
            </w:r>
            <w:r w:rsidR="00F83CF9">
              <w:rPr>
                <w:rFonts w:ascii="Arial" w:eastAsia="Calibri" w:hAnsi="Arial" w:cs="Arial"/>
                <w:color w:val="000000" w:themeColor="text1"/>
                <w:kern w:val="24"/>
                <w:sz w:val="20"/>
                <w:szCs w:val="20"/>
                <w:lang w:eastAsia="en-GB"/>
              </w:rPr>
              <w:t>/21</w:t>
            </w:r>
          </w:p>
          <w:p w14:paraId="43B6A3BB" w14:textId="77777777" w:rsidR="00FD75DC" w:rsidRPr="005916CB" w:rsidRDefault="00FD75DC" w:rsidP="004D5539">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t>21.4%</w:t>
            </w:r>
            <w:r w:rsidRPr="005916CB">
              <w:rPr>
                <w:sz w:val="20"/>
                <w:szCs w:val="20"/>
              </w:rPr>
              <w:t xml:space="preserve"> </w:t>
            </w:r>
            <w:r w:rsidRPr="005916CB">
              <w:rPr>
                <w:rFonts w:ascii="Arial" w:eastAsia="Calibri" w:hAnsi="Arial" w:cs="Arial"/>
                <w:color w:val="000000" w:themeColor="text1"/>
                <w:kern w:val="24"/>
                <w:sz w:val="20"/>
                <w:szCs w:val="20"/>
                <w:lang w:eastAsia="en-GB"/>
              </w:rPr>
              <w:t>BAME Board members</w:t>
            </w:r>
          </w:p>
          <w:p w14:paraId="50B41C3E" w14:textId="77777777" w:rsidR="00FD75DC" w:rsidRPr="005916CB" w:rsidRDefault="00FD75DC" w:rsidP="004D5539">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lastRenderedPageBreak/>
              <w:t>18.2% Voting BAME Board members</w:t>
            </w:r>
          </w:p>
          <w:p w14:paraId="28AC522A"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p>
        </w:tc>
        <w:tc>
          <w:tcPr>
            <w:tcW w:w="6946" w:type="dxa"/>
            <w:gridSpan w:val="2"/>
            <w:tcBorders>
              <w:top w:val="single" w:sz="8" w:space="0" w:color="000000"/>
              <w:left w:val="single" w:sz="8" w:space="0" w:color="000000"/>
              <w:bottom w:val="single" w:sz="8" w:space="0" w:color="000000"/>
              <w:right w:val="single" w:sz="8" w:space="0" w:color="000000"/>
            </w:tcBorders>
            <w:shd w:val="clear" w:color="auto" w:fill="auto"/>
          </w:tcPr>
          <w:p w14:paraId="75D8CE5A" w14:textId="7DE0C6C6" w:rsidR="00FD75DC" w:rsidRDefault="00FD75DC" w:rsidP="00CE0366">
            <w:pPr>
              <w:spacing w:line="256" w:lineRule="auto"/>
              <w:rPr>
                <w:rFonts w:ascii="Arial" w:eastAsia="Calibri" w:hAnsi="Arial" w:cs="Arial"/>
                <w:color w:val="000000" w:themeColor="text1"/>
                <w:kern w:val="24"/>
                <w:sz w:val="20"/>
                <w:szCs w:val="20"/>
                <w:lang w:eastAsia="en-GB"/>
              </w:rPr>
            </w:pPr>
            <w:r w:rsidRPr="005916CB">
              <w:rPr>
                <w:rFonts w:ascii="Arial" w:eastAsia="Calibri" w:hAnsi="Arial" w:cs="Arial"/>
                <w:color w:val="000000" w:themeColor="text1"/>
                <w:kern w:val="24"/>
                <w:sz w:val="20"/>
                <w:szCs w:val="20"/>
                <w:lang w:eastAsia="en-GB"/>
              </w:rPr>
              <w:lastRenderedPageBreak/>
              <w:t>2021</w:t>
            </w:r>
            <w:r w:rsidR="00F83CF9">
              <w:rPr>
                <w:rFonts w:ascii="Arial" w:eastAsia="Calibri" w:hAnsi="Arial" w:cs="Arial"/>
                <w:color w:val="000000" w:themeColor="text1"/>
                <w:kern w:val="24"/>
                <w:sz w:val="20"/>
                <w:szCs w:val="20"/>
                <w:lang w:eastAsia="en-GB"/>
              </w:rPr>
              <w:t>/22</w:t>
            </w:r>
          </w:p>
          <w:p w14:paraId="19713C46" w14:textId="77777777" w:rsidR="00FD75DC" w:rsidRDefault="00FD75DC" w:rsidP="00CE0366">
            <w:pPr>
              <w:spacing w:line="256" w:lineRule="auto"/>
              <w:rPr>
                <w:rFonts w:ascii="Arial" w:eastAsia="Calibri" w:hAnsi="Arial" w:cs="Arial"/>
                <w:color w:val="000000" w:themeColor="text1"/>
                <w:kern w:val="24"/>
                <w:sz w:val="20"/>
                <w:szCs w:val="20"/>
                <w:lang w:eastAsia="en-GB"/>
              </w:rPr>
            </w:pPr>
            <w:r w:rsidRPr="000D1122">
              <w:rPr>
                <w:rFonts w:ascii="Arial" w:eastAsia="Calibri" w:hAnsi="Arial" w:cs="Arial"/>
                <w:b/>
                <w:bCs/>
                <w:color w:val="ED7D31" w:themeColor="accent2"/>
                <w:kern w:val="24"/>
                <w:sz w:val="20"/>
                <w:szCs w:val="20"/>
                <w:lang w:eastAsia="en-GB"/>
              </w:rPr>
              <w:t>16.7%</w:t>
            </w:r>
            <w:r w:rsidRPr="000D1122">
              <w:rPr>
                <w:rFonts w:ascii="Arial" w:eastAsia="Calibri" w:hAnsi="Arial" w:cs="Arial"/>
                <w:color w:val="ED7D31" w:themeColor="accent2"/>
                <w:kern w:val="24"/>
                <w:sz w:val="20"/>
                <w:szCs w:val="20"/>
                <w:lang w:eastAsia="en-GB"/>
              </w:rPr>
              <w:t xml:space="preserve"> </w:t>
            </w:r>
            <w:r>
              <w:rPr>
                <w:rFonts w:ascii="Arial" w:eastAsia="Calibri" w:hAnsi="Arial" w:cs="Arial"/>
                <w:color w:val="000000" w:themeColor="text1"/>
                <w:kern w:val="24"/>
                <w:sz w:val="20"/>
                <w:szCs w:val="20"/>
                <w:lang w:eastAsia="en-GB"/>
              </w:rPr>
              <w:t>BAME Board members</w:t>
            </w:r>
          </w:p>
          <w:p w14:paraId="2821FA5C" w14:textId="77777777" w:rsidR="00FD75DC" w:rsidRDefault="00FD75DC" w:rsidP="00CE0366">
            <w:pPr>
              <w:spacing w:line="256" w:lineRule="auto"/>
              <w:rPr>
                <w:rFonts w:ascii="Arial" w:eastAsia="Calibri" w:hAnsi="Arial" w:cs="Arial"/>
                <w:color w:val="000000" w:themeColor="text1"/>
                <w:kern w:val="24"/>
                <w:sz w:val="20"/>
                <w:szCs w:val="20"/>
                <w:lang w:eastAsia="en-GB"/>
              </w:rPr>
            </w:pPr>
            <w:r w:rsidRPr="000D1122">
              <w:rPr>
                <w:rFonts w:ascii="Arial" w:eastAsia="Calibri" w:hAnsi="Arial" w:cs="Arial"/>
                <w:b/>
                <w:bCs/>
                <w:color w:val="70AD47" w:themeColor="accent6"/>
                <w:kern w:val="24"/>
                <w:sz w:val="20"/>
                <w:szCs w:val="20"/>
                <w:lang w:eastAsia="en-GB"/>
              </w:rPr>
              <w:lastRenderedPageBreak/>
              <w:t>20.0%</w:t>
            </w:r>
            <w:r w:rsidRPr="000D1122">
              <w:rPr>
                <w:rFonts w:ascii="Arial" w:eastAsia="Calibri" w:hAnsi="Arial" w:cs="Arial"/>
                <w:color w:val="000000" w:themeColor="text1"/>
                <w:kern w:val="24"/>
                <w:sz w:val="20"/>
                <w:szCs w:val="20"/>
                <w:lang w:eastAsia="en-GB"/>
              </w:rPr>
              <w:t xml:space="preserve"> </w:t>
            </w:r>
            <w:r>
              <w:rPr>
                <w:rFonts w:ascii="Arial" w:eastAsia="Calibri" w:hAnsi="Arial" w:cs="Arial"/>
                <w:color w:val="000000" w:themeColor="text1"/>
                <w:kern w:val="24"/>
                <w:sz w:val="20"/>
                <w:szCs w:val="20"/>
                <w:lang w:eastAsia="en-GB"/>
              </w:rPr>
              <w:t>Voting BAME Board members</w:t>
            </w:r>
          </w:p>
          <w:p w14:paraId="3A8E665A" w14:textId="77777777" w:rsidR="00FD75DC" w:rsidRPr="005916CB" w:rsidRDefault="00FD75DC" w:rsidP="00CE0366">
            <w:pPr>
              <w:spacing w:line="256" w:lineRule="auto"/>
              <w:rPr>
                <w:rFonts w:ascii="Arial" w:eastAsia="Calibri" w:hAnsi="Arial" w:cs="Arial"/>
                <w:color w:val="000000" w:themeColor="text1"/>
                <w:kern w:val="24"/>
                <w:sz w:val="20"/>
                <w:szCs w:val="20"/>
                <w:lang w:eastAsia="en-GB"/>
              </w:rPr>
            </w:pPr>
          </w:p>
        </w:tc>
        <w:tc>
          <w:tcPr>
            <w:tcW w:w="1615" w:type="dxa"/>
            <w:tcBorders>
              <w:top w:val="single" w:sz="8" w:space="0" w:color="000000"/>
              <w:left w:val="single" w:sz="8" w:space="0" w:color="000000"/>
              <w:bottom w:val="single" w:sz="8" w:space="0" w:color="000000"/>
              <w:right w:val="single" w:sz="8" w:space="0" w:color="000000"/>
            </w:tcBorders>
          </w:tcPr>
          <w:p w14:paraId="5226996E" w14:textId="77777777" w:rsidR="00FD75DC" w:rsidRDefault="00FD75DC" w:rsidP="00CE0366">
            <w:pPr>
              <w:spacing w:line="256" w:lineRule="auto"/>
              <w:rPr>
                <w:rFonts w:ascii="Arial" w:eastAsia="Calibri" w:hAnsi="Arial" w:cs="Arial"/>
                <w:color w:val="000000" w:themeColor="text1"/>
                <w:kern w:val="24"/>
                <w:sz w:val="20"/>
                <w:szCs w:val="20"/>
                <w:lang w:eastAsia="en-GB"/>
              </w:rPr>
            </w:pPr>
          </w:p>
          <w:p w14:paraId="75920DB2" w14:textId="4DE1BFB7" w:rsidR="00197317" w:rsidRPr="003B24DE" w:rsidRDefault="00197317" w:rsidP="00CE0366">
            <w:pPr>
              <w:spacing w:line="256" w:lineRule="auto"/>
              <w:rPr>
                <w:rFonts w:ascii="Arial" w:eastAsia="Calibri" w:hAnsi="Arial" w:cs="Arial"/>
                <w:b/>
                <w:bCs/>
                <w:color w:val="70AD47" w:themeColor="accent6"/>
                <w:kern w:val="24"/>
                <w:sz w:val="20"/>
                <w:szCs w:val="20"/>
                <w:lang w:eastAsia="en-GB"/>
              </w:rPr>
            </w:pPr>
            <w:r w:rsidRPr="003B24DE">
              <w:rPr>
                <w:rFonts w:ascii="Arial" w:eastAsia="Calibri" w:hAnsi="Arial" w:cs="Arial"/>
                <w:b/>
                <w:bCs/>
                <w:color w:val="70AD47" w:themeColor="accent6"/>
                <w:kern w:val="24"/>
                <w:sz w:val="20"/>
                <w:szCs w:val="20"/>
                <w:lang w:eastAsia="en-GB"/>
              </w:rPr>
              <w:t>23%</w:t>
            </w:r>
          </w:p>
          <w:p w14:paraId="2DFCA19B" w14:textId="7D7D4293" w:rsidR="00197317" w:rsidRPr="005916CB" w:rsidRDefault="00197317" w:rsidP="00CE0366">
            <w:pPr>
              <w:spacing w:line="256" w:lineRule="auto"/>
              <w:rPr>
                <w:rFonts w:ascii="Arial" w:eastAsia="Calibri" w:hAnsi="Arial" w:cs="Arial"/>
                <w:color w:val="000000" w:themeColor="text1"/>
                <w:kern w:val="24"/>
                <w:sz w:val="20"/>
                <w:szCs w:val="20"/>
                <w:lang w:eastAsia="en-GB"/>
              </w:rPr>
            </w:pPr>
            <w:r w:rsidRPr="003B24DE">
              <w:rPr>
                <w:rFonts w:ascii="Arial" w:eastAsia="Calibri" w:hAnsi="Arial" w:cs="Arial"/>
                <w:b/>
                <w:bCs/>
                <w:color w:val="70AD47" w:themeColor="accent6"/>
                <w:kern w:val="24"/>
                <w:sz w:val="20"/>
                <w:szCs w:val="20"/>
                <w:lang w:eastAsia="en-GB"/>
              </w:rPr>
              <w:lastRenderedPageBreak/>
              <w:t>22%</w:t>
            </w:r>
          </w:p>
        </w:tc>
      </w:tr>
      <w:tr w:rsidR="004D7593" w:rsidRPr="005916CB" w14:paraId="628B78EC" w14:textId="77777777" w:rsidTr="00E55176">
        <w:trPr>
          <w:trHeight w:val="416"/>
        </w:trPr>
        <w:tc>
          <w:tcPr>
            <w:tcW w:w="696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0" w:type="dxa"/>
              <w:bottom w:w="0" w:type="dxa"/>
              <w:right w:w="100" w:type="dxa"/>
            </w:tcMar>
          </w:tcPr>
          <w:p w14:paraId="5BF7C8B2" w14:textId="1EE009F0" w:rsidR="004D7593" w:rsidRPr="004D7593" w:rsidRDefault="004D7593" w:rsidP="00CE0366">
            <w:pPr>
              <w:spacing w:line="256" w:lineRule="auto"/>
              <w:rPr>
                <w:rFonts w:ascii="Arial" w:eastAsia="Calibri" w:hAnsi="Arial" w:cs="Arial"/>
                <w:b/>
                <w:bCs/>
                <w:color w:val="000000" w:themeColor="text1"/>
                <w:kern w:val="24"/>
                <w:sz w:val="20"/>
                <w:szCs w:val="20"/>
                <w:lang w:eastAsia="en-GB"/>
              </w:rPr>
            </w:pPr>
            <w:r w:rsidRPr="004D7593">
              <w:rPr>
                <w:rFonts w:ascii="Arial" w:eastAsia="Calibri" w:hAnsi="Arial" w:cs="Arial"/>
                <w:b/>
                <w:bCs/>
                <w:color w:val="000000" w:themeColor="text1"/>
                <w:kern w:val="24"/>
                <w:sz w:val="20"/>
                <w:szCs w:val="20"/>
                <w:lang w:eastAsia="en-GB"/>
              </w:rPr>
              <w:t xml:space="preserve">Action </w:t>
            </w:r>
          </w:p>
        </w:tc>
        <w:tc>
          <w:tcPr>
            <w:tcW w:w="6969" w:type="dxa"/>
            <w:gridSpan w:val="2"/>
            <w:tcBorders>
              <w:top w:val="single" w:sz="8" w:space="0" w:color="000000"/>
              <w:left w:val="single" w:sz="8" w:space="0" w:color="000000"/>
              <w:bottom w:val="single" w:sz="8" w:space="0" w:color="000000"/>
              <w:right w:val="single" w:sz="8" w:space="0" w:color="000000"/>
            </w:tcBorders>
            <w:shd w:val="clear" w:color="auto" w:fill="auto"/>
          </w:tcPr>
          <w:p w14:paraId="39FAB8AC" w14:textId="27A6111F" w:rsidR="004D7593" w:rsidRPr="004D7593" w:rsidRDefault="004D7593" w:rsidP="00CE0366">
            <w:pPr>
              <w:spacing w:line="256" w:lineRule="auto"/>
              <w:rPr>
                <w:rFonts w:ascii="Arial" w:eastAsia="Calibri" w:hAnsi="Arial" w:cs="Arial"/>
                <w:b/>
                <w:bCs/>
                <w:color w:val="000000" w:themeColor="text1"/>
                <w:kern w:val="24"/>
                <w:sz w:val="20"/>
                <w:szCs w:val="20"/>
                <w:lang w:eastAsia="en-GB"/>
              </w:rPr>
            </w:pPr>
            <w:r w:rsidRPr="004D7593">
              <w:rPr>
                <w:rFonts w:ascii="Arial" w:eastAsia="Calibri" w:hAnsi="Arial" w:cs="Arial"/>
                <w:b/>
                <w:bCs/>
                <w:color w:val="000000" w:themeColor="text1"/>
                <w:kern w:val="24"/>
                <w:sz w:val="20"/>
                <w:szCs w:val="20"/>
                <w:lang w:eastAsia="en-GB"/>
              </w:rPr>
              <w:t xml:space="preserve">Output </w:t>
            </w:r>
          </w:p>
        </w:tc>
      </w:tr>
    </w:tbl>
    <w:p w14:paraId="1F84F030" w14:textId="222EC0D5" w:rsidR="004D139E" w:rsidRDefault="004D139E"/>
    <w:sectPr w:rsidR="004D139E" w:rsidSect="00CE03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758A" w14:textId="77777777" w:rsidR="00FC3FD9" w:rsidRDefault="00FC3FD9" w:rsidP="00460037">
      <w:pPr>
        <w:spacing w:after="0" w:line="240" w:lineRule="auto"/>
      </w:pPr>
      <w:r>
        <w:separator/>
      </w:r>
    </w:p>
  </w:endnote>
  <w:endnote w:type="continuationSeparator" w:id="0">
    <w:p w14:paraId="26BC403B" w14:textId="77777777" w:rsidR="00FC3FD9" w:rsidRDefault="00FC3FD9" w:rsidP="004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5C09" w14:textId="77777777" w:rsidR="00FC3FD9" w:rsidRDefault="00FC3FD9" w:rsidP="00460037">
      <w:pPr>
        <w:spacing w:after="0" w:line="240" w:lineRule="auto"/>
      </w:pPr>
      <w:r>
        <w:separator/>
      </w:r>
    </w:p>
  </w:footnote>
  <w:footnote w:type="continuationSeparator" w:id="0">
    <w:p w14:paraId="09ADDDAA" w14:textId="77777777" w:rsidR="00FC3FD9" w:rsidRDefault="00FC3FD9" w:rsidP="0046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4EB"/>
    <w:multiLevelType w:val="hybridMultilevel"/>
    <w:tmpl w:val="5636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7686"/>
    <w:multiLevelType w:val="hybridMultilevel"/>
    <w:tmpl w:val="C896A292"/>
    <w:lvl w:ilvl="0" w:tplc="9C420CC8">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835AE"/>
    <w:multiLevelType w:val="hybridMultilevel"/>
    <w:tmpl w:val="31AE2B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4D0B"/>
    <w:multiLevelType w:val="hybridMultilevel"/>
    <w:tmpl w:val="E88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91EDF"/>
    <w:multiLevelType w:val="hybridMultilevel"/>
    <w:tmpl w:val="1A54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9151B"/>
    <w:multiLevelType w:val="hybridMultilevel"/>
    <w:tmpl w:val="C0C6EB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541BE"/>
    <w:multiLevelType w:val="hybridMultilevel"/>
    <w:tmpl w:val="952C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D089B"/>
    <w:multiLevelType w:val="hybridMultilevel"/>
    <w:tmpl w:val="B2E80B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01500"/>
    <w:multiLevelType w:val="hybridMultilevel"/>
    <w:tmpl w:val="3DAC5EC2"/>
    <w:lvl w:ilvl="0" w:tplc="0809001B">
      <w:start w:val="1"/>
      <w:numFmt w:val="lowerRoman"/>
      <w:lvlText w:val="%1."/>
      <w:lvlJc w:val="right"/>
      <w:pPr>
        <w:tabs>
          <w:tab w:val="num" w:pos="720"/>
        </w:tabs>
        <w:ind w:left="720" w:hanging="360"/>
      </w:pPr>
      <w:rPr>
        <w:rFonts w:hint="default"/>
      </w:rPr>
    </w:lvl>
    <w:lvl w:ilvl="1" w:tplc="6C848962">
      <w:start w:val="1"/>
      <w:numFmt w:val="bullet"/>
      <w:lvlText w:val=""/>
      <w:lvlJc w:val="left"/>
      <w:pPr>
        <w:tabs>
          <w:tab w:val="num" w:pos="1440"/>
        </w:tabs>
        <w:ind w:left="1440" w:hanging="360"/>
      </w:pPr>
      <w:rPr>
        <w:rFonts w:ascii="Symbol" w:hAnsi="Symbol" w:hint="default"/>
      </w:rPr>
    </w:lvl>
    <w:lvl w:ilvl="2" w:tplc="04E29B30" w:tentative="1">
      <w:start w:val="1"/>
      <w:numFmt w:val="bullet"/>
      <w:lvlText w:val=""/>
      <w:lvlJc w:val="left"/>
      <w:pPr>
        <w:tabs>
          <w:tab w:val="num" w:pos="2160"/>
        </w:tabs>
        <w:ind w:left="2160" w:hanging="360"/>
      </w:pPr>
      <w:rPr>
        <w:rFonts w:ascii="Symbol" w:hAnsi="Symbol" w:hint="default"/>
      </w:rPr>
    </w:lvl>
    <w:lvl w:ilvl="3" w:tplc="21B208B6" w:tentative="1">
      <w:start w:val="1"/>
      <w:numFmt w:val="bullet"/>
      <w:lvlText w:val=""/>
      <w:lvlJc w:val="left"/>
      <w:pPr>
        <w:tabs>
          <w:tab w:val="num" w:pos="2880"/>
        </w:tabs>
        <w:ind w:left="2880" w:hanging="360"/>
      </w:pPr>
      <w:rPr>
        <w:rFonts w:ascii="Symbol" w:hAnsi="Symbol" w:hint="default"/>
      </w:rPr>
    </w:lvl>
    <w:lvl w:ilvl="4" w:tplc="7018E0F4" w:tentative="1">
      <w:start w:val="1"/>
      <w:numFmt w:val="bullet"/>
      <w:lvlText w:val=""/>
      <w:lvlJc w:val="left"/>
      <w:pPr>
        <w:tabs>
          <w:tab w:val="num" w:pos="3600"/>
        </w:tabs>
        <w:ind w:left="3600" w:hanging="360"/>
      </w:pPr>
      <w:rPr>
        <w:rFonts w:ascii="Symbol" w:hAnsi="Symbol" w:hint="default"/>
      </w:rPr>
    </w:lvl>
    <w:lvl w:ilvl="5" w:tplc="6B340418" w:tentative="1">
      <w:start w:val="1"/>
      <w:numFmt w:val="bullet"/>
      <w:lvlText w:val=""/>
      <w:lvlJc w:val="left"/>
      <w:pPr>
        <w:tabs>
          <w:tab w:val="num" w:pos="4320"/>
        </w:tabs>
        <w:ind w:left="4320" w:hanging="360"/>
      </w:pPr>
      <w:rPr>
        <w:rFonts w:ascii="Symbol" w:hAnsi="Symbol" w:hint="default"/>
      </w:rPr>
    </w:lvl>
    <w:lvl w:ilvl="6" w:tplc="74FEB02A" w:tentative="1">
      <w:start w:val="1"/>
      <w:numFmt w:val="bullet"/>
      <w:lvlText w:val=""/>
      <w:lvlJc w:val="left"/>
      <w:pPr>
        <w:tabs>
          <w:tab w:val="num" w:pos="5040"/>
        </w:tabs>
        <w:ind w:left="5040" w:hanging="360"/>
      </w:pPr>
      <w:rPr>
        <w:rFonts w:ascii="Symbol" w:hAnsi="Symbol" w:hint="default"/>
      </w:rPr>
    </w:lvl>
    <w:lvl w:ilvl="7" w:tplc="EA404F3C" w:tentative="1">
      <w:start w:val="1"/>
      <w:numFmt w:val="bullet"/>
      <w:lvlText w:val=""/>
      <w:lvlJc w:val="left"/>
      <w:pPr>
        <w:tabs>
          <w:tab w:val="num" w:pos="5760"/>
        </w:tabs>
        <w:ind w:left="5760" w:hanging="360"/>
      </w:pPr>
      <w:rPr>
        <w:rFonts w:ascii="Symbol" w:hAnsi="Symbol" w:hint="default"/>
      </w:rPr>
    </w:lvl>
    <w:lvl w:ilvl="8" w:tplc="2E96B7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7E2154"/>
    <w:multiLevelType w:val="hybridMultilevel"/>
    <w:tmpl w:val="AC08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708A5"/>
    <w:multiLevelType w:val="hybridMultilevel"/>
    <w:tmpl w:val="95FC5958"/>
    <w:lvl w:ilvl="0" w:tplc="E9E201E0">
      <w:start w:val="1"/>
      <w:numFmt w:val="bullet"/>
      <w:lvlText w:val=""/>
      <w:lvlJc w:val="left"/>
      <w:pPr>
        <w:tabs>
          <w:tab w:val="num" w:pos="720"/>
        </w:tabs>
        <w:ind w:left="720" w:hanging="360"/>
      </w:pPr>
      <w:rPr>
        <w:rFonts w:ascii="Symbol" w:hAnsi="Symbol" w:hint="default"/>
      </w:rPr>
    </w:lvl>
    <w:lvl w:ilvl="1" w:tplc="6C848962" w:tentative="1">
      <w:start w:val="1"/>
      <w:numFmt w:val="bullet"/>
      <w:lvlText w:val=""/>
      <w:lvlJc w:val="left"/>
      <w:pPr>
        <w:tabs>
          <w:tab w:val="num" w:pos="1440"/>
        </w:tabs>
        <w:ind w:left="1440" w:hanging="360"/>
      </w:pPr>
      <w:rPr>
        <w:rFonts w:ascii="Symbol" w:hAnsi="Symbol" w:hint="default"/>
      </w:rPr>
    </w:lvl>
    <w:lvl w:ilvl="2" w:tplc="04E29B30" w:tentative="1">
      <w:start w:val="1"/>
      <w:numFmt w:val="bullet"/>
      <w:lvlText w:val=""/>
      <w:lvlJc w:val="left"/>
      <w:pPr>
        <w:tabs>
          <w:tab w:val="num" w:pos="2160"/>
        </w:tabs>
        <w:ind w:left="2160" w:hanging="360"/>
      </w:pPr>
      <w:rPr>
        <w:rFonts w:ascii="Symbol" w:hAnsi="Symbol" w:hint="default"/>
      </w:rPr>
    </w:lvl>
    <w:lvl w:ilvl="3" w:tplc="21B208B6" w:tentative="1">
      <w:start w:val="1"/>
      <w:numFmt w:val="bullet"/>
      <w:lvlText w:val=""/>
      <w:lvlJc w:val="left"/>
      <w:pPr>
        <w:tabs>
          <w:tab w:val="num" w:pos="2880"/>
        </w:tabs>
        <w:ind w:left="2880" w:hanging="360"/>
      </w:pPr>
      <w:rPr>
        <w:rFonts w:ascii="Symbol" w:hAnsi="Symbol" w:hint="default"/>
      </w:rPr>
    </w:lvl>
    <w:lvl w:ilvl="4" w:tplc="7018E0F4" w:tentative="1">
      <w:start w:val="1"/>
      <w:numFmt w:val="bullet"/>
      <w:lvlText w:val=""/>
      <w:lvlJc w:val="left"/>
      <w:pPr>
        <w:tabs>
          <w:tab w:val="num" w:pos="3600"/>
        </w:tabs>
        <w:ind w:left="3600" w:hanging="360"/>
      </w:pPr>
      <w:rPr>
        <w:rFonts w:ascii="Symbol" w:hAnsi="Symbol" w:hint="default"/>
      </w:rPr>
    </w:lvl>
    <w:lvl w:ilvl="5" w:tplc="6B340418" w:tentative="1">
      <w:start w:val="1"/>
      <w:numFmt w:val="bullet"/>
      <w:lvlText w:val=""/>
      <w:lvlJc w:val="left"/>
      <w:pPr>
        <w:tabs>
          <w:tab w:val="num" w:pos="4320"/>
        </w:tabs>
        <w:ind w:left="4320" w:hanging="360"/>
      </w:pPr>
      <w:rPr>
        <w:rFonts w:ascii="Symbol" w:hAnsi="Symbol" w:hint="default"/>
      </w:rPr>
    </w:lvl>
    <w:lvl w:ilvl="6" w:tplc="74FEB02A" w:tentative="1">
      <w:start w:val="1"/>
      <w:numFmt w:val="bullet"/>
      <w:lvlText w:val=""/>
      <w:lvlJc w:val="left"/>
      <w:pPr>
        <w:tabs>
          <w:tab w:val="num" w:pos="5040"/>
        </w:tabs>
        <w:ind w:left="5040" w:hanging="360"/>
      </w:pPr>
      <w:rPr>
        <w:rFonts w:ascii="Symbol" w:hAnsi="Symbol" w:hint="default"/>
      </w:rPr>
    </w:lvl>
    <w:lvl w:ilvl="7" w:tplc="EA404F3C" w:tentative="1">
      <w:start w:val="1"/>
      <w:numFmt w:val="bullet"/>
      <w:lvlText w:val=""/>
      <w:lvlJc w:val="left"/>
      <w:pPr>
        <w:tabs>
          <w:tab w:val="num" w:pos="5760"/>
        </w:tabs>
        <w:ind w:left="5760" w:hanging="360"/>
      </w:pPr>
      <w:rPr>
        <w:rFonts w:ascii="Symbol" w:hAnsi="Symbol" w:hint="default"/>
      </w:rPr>
    </w:lvl>
    <w:lvl w:ilvl="8" w:tplc="2E96B7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3E4620"/>
    <w:multiLevelType w:val="hybridMultilevel"/>
    <w:tmpl w:val="1DD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5556E"/>
    <w:multiLevelType w:val="hybridMultilevel"/>
    <w:tmpl w:val="BBECFA86"/>
    <w:lvl w:ilvl="0" w:tplc="634E02C8">
      <w:start w:val="1"/>
      <w:numFmt w:val="bullet"/>
      <w:lvlText w:val=""/>
      <w:lvlJc w:val="left"/>
      <w:pPr>
        <w:ind w:left="720" w:hanging="360"/>
      </w:pPr>
      <w:rPr>
        <w:rFonts w:ascii="Symbol" w:hAnsi="Symbol" w:hint="default"/>
        <w:color w:val="auto"/>
      </w:rPr>
    </w:lvl>
    <w:lvl w:ilvl="1" w:tplc="8E8644F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87808"/>
    <w:multiLevelType w:val="hybridMultilevel"/>
    <w:tmpl w:val="2BC4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71F85"/>
    <w:multiLevelType w:val="multilevel"/>
    <w:tmpl w:val="B8869A4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9F2FE6"/>
    <w:multiLevelType w:val="hybridMultilevel"/>
    <w:tmpl w:val="96EC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D035F"/>
    <w:multiLevelType w:val="hybridMultilevel"/>
    <w:tmpl w:val="F83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62B0"/>
    <w:multiLevelType w:val="hybridMultilevel"/>
    <w:tmpl w:val="90C8E7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E618D"/>
    <w:multiLevelType w:val="hybridMultilevel"/>
    <w:tmpl w:val="6CC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DC4"/>
    <w:multiLevelType w:val="hybridMultilevel"/>
    <w:tmpl w:val="7BA299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D0A60"/>
    <w:multiLevelType w:val="hybridMultilevel"/>
    <w:tmpl w:val="65D86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5644F"/>
    <w:multiLevelType w:val="hybridMultilevel"/>
    <w:tmpl w:val="D154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D78AB"/>
    <w:multiLevelType w:val="hybridMultilevel"/>
    <w:tmpl w:val="22BC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C539B"/>
    <w:multiLevelType w:val="hybridMultilevel"/>
    <w:tmpl w:val="3DAC5EC2"/>
    <w:lvl w:ilvl="0" w:tplc="FFFFFFFF">
      <w:start w:val="1"/>
      <w:numFmt w:val="lowerRoman"/>
      <w:lvlText w:val="%1."/>
      <w:lvlJc w:val="righ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29784E"/>
    <w:multiLevelType w:val="hybridMultilevel"/>
    <w:tmpl w:val="1E3E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318C0"/>
    <w:multiLevelType w:val="hybridMultilevel"/>
    <w:tmpl w:val="C508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A3C04"/>
    <w:multiLevelType w:val="hybridMultilevel"/>
    <w:tmpl w:val="44CA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16799">
    <w:abstractNumId w:val="10"/>
  </w:num>
  <w:num w:numId="2" w16cid:durableId="516046057">
    <w:abstractNumId w:val="3"/>
  </w:num>
  <w:num w:numId="3" w16cid:durableId="1169709120">
    <w:abstractNumId w:val="12"/>
  </w:num>
  <w:num w:numId="4" w16cid:durableId="2016566559">
    <w:abstractNumId w:val="8"/>
  </w:num>
  <w:num w:numId="5" w16cid:durableId="1021278583">
    <w:abstractNumId w:val="2"/>
  </w:num>
  <w:num w:numId="6" w16cid:durableId="1927617707">
    <w:abstractNumId w:val="20"/>
  </w:num>
  <w:num w:numId="7" w16cid:durableId="1927422172">
    <w:abstractNumId w:val="17"/>
  </w:num>
  <w:num w:numId="8" w16cid:durableId="273681809">
    <w:abstractNumId w:val="14"/>
  </w:num>
  <w:num w:numId="9" w16cid:durableId="58092351">
    <w:abstractNumId w:val="5"/>
  </w:num>
  <w:num w:numId="10" w16cid:durableId="1984120145">
    <w:abstractNumId w:val="11"/>
  </w:num>
  <w:num w:numId="11" w16cid:durableId="1603226526">
    <w:abstractNumId w:val="1"/>
  </w:num>
  <w:num w:numId="12" w16cid:durableId="1260412660">
    <w:abstractNumId w:val="19"/>
  </w:num>
  <w:num w:numId="13" w16cid:durableId="993878096">
    <w:abstractNumId w:val="0"/>
  </w:num>
  <w:num w:numId="14" w16cid:durableId="924532870">
    <w:abstractNumId w:val="16"/>
  </w:num>
  <w:num w:numId="15" w16cid:durableId="331496435">
    <w:abstractNumId w:val="21"/>
  </w:num>
  <w:num w:numId="16" w16cid:durableId="2046951869">
    <w:abstractNumId w:val="4"/>
  </w:num>
  <w:num w:numId="17" w16cid:durableId="1431973683">
    <w:abstractNumId w:val="15"/>
  </w:num>
  <w:num w:numId="18" w16cid:durableId="1266497491">
    <w:abstractNumId w:val="7"/>
  </w:num>
  <w:num w:numId="19" w16cid:durableId="1794901471">
    <w:abstractNumId w:val="23"/>
  </w:num>
  <w:num w:numId="20" w16cid:durableId="679088760">
    <w:abstractNumId w:val="25"/>
  </w:num>
  <w:num w:numId="21" w16cid:durableId="1771197783">
    <w:abstractNumId w:val="6"/>
  </w:num>
  <w:num w:numId="22" w16cid:durableId="1956402581">
    <w:abstractNumId w:val="26"/>
  </w:num>
  <w:num w:numId="23" w16cid:durableId="379328452">
    <w:abstractNumId w:val="24"/>
  </w:num>
  <w:num w:numId="24" w16cid:durableId="2114547270">
    <w:abstractNumId w:val="13"/>
  </w:num>
  <w:num w:numId="25" w16cid:durableId="731540256">
    <w:abstractNumId w:val="22"/>
  </w:num>
  <w:num w:numId="26" w16cid:durableId="678655351">
    <w:abstractNumId w:val="9"/>
  </w:num>
  <w:num w:numId="27" w16cid:durableId="885022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66"/>
    <w:rsid w:val="00005DFB"/>
    <w:rsid w:val="00006E71"/>
    <w:rsid w:val="00012513"/>
    <w:rsid w:val="00015C07"/>
    <w:rsid w:val="00017100"/>
    <w:rsid w:val="00032F79"/>
    <w:rsid w:val="000366F9"/>
    <w:rsid w:val="00036719"/>
    <w:rsid w:val="00036D16"/>
    <w:rsid w:val="00040898"/>
    <w:rsid w:val="00045070"/>
    <w:rsid w:val="00051E59"/>
    <w:rsid w:val="00065366"/>
    <w:rsid w:val="00066B3B"/>
    <w:rsid w:val="0007710B"/>
    <w:rsid w:val="000811B5"/>
    <w:rsid w:val="00084D4C"/>
    <w:rsid w:val="000858FF"/>
    <w:rsid w:val="0008789D"/>
    <w:rsid w:val="0009225D"/>
    <w:rsid w:val="000963C1"/>
    <w:rsid w:val="000A4C1B"/>
    <w:rsid w:val="000A6EA4"/>
    <w:rsid w:val="000B2C8E"/>
    <w:rsid w:val="000B3339"/>
    <w:rsid w:val="000B375E"/>
    <w:rsid w:val="000C1781"/>
    <w:rsid w:val="000C7023"/>
    <w:rsid w:val="000D1122"/>
    <w:rsid w:val="000D41A4"/>
    <w:rsid w:val="000D6094"/>
    <w:rsid w:val="000E59BF"/>
    <w:rsid w:val="000F54BB"/>
    <w:rsid w:val="000F790A"/>
    <w:rsid w:val="00105697"/>
    <w:rsid w:val="001223BB"/>
    <w:rsid w:val="00125336"/>
    <w:rsid w:val="00140620"/>
    <w:rsid w:val="00140AE7"/>
    <w:rsid w:val="001433D4"/>
    <w:rsid w:val="001530EC"/>
    <w:rsid w:val="00153119"/>
    <w:rsid w:val="001557DE"/>
    <w:rsid w:val="0016314F"/>
    <w:rsid w:val="0017056E"/>
    <w:rsid w:val="0017744B"/>
    <w:rsid w:val="00184C5B"/>
    <w:rsid w:val="00187ADC"/>
    <w:rsid w:val="00190A5D"/>
    <w:rsid w:val="0019332C"/>
    <w:rsid w:val="0019406F"/>
    <w:rsid w:val="00197317"/>
    <w:rsid w:val="001A3E00"/>
    <w:rsid w:val="001A3E89"/>
    <w:rsid w:val="001B378F"/>
    <w:rsid w:val="001B3CF8"/>
    <w:rsid w:val="001B5281"/>
    <w:rsid w:val="001C0098"/>
    <w:rsid w:val="001C4508"/>
    <w:rsid w:val="001D201C"/>
    <w:rsid w:val="001E1824"/>
    <w:rsid w:val="001F28AB"/>
    <w:rsid w:val="002025F1"/>
    <w:rsid w:val="002056D2"/>
    <w:rsid w:val="00207602"/>
    <w:rsid w:val="002106FC"/>
    <w:rsid w:val="002266B3"/>
    <w:rsid w:val="002307BA"/>
    <w:rsid w:val="00233838"/>
    <w:rsid w:val="00250867"/>
    <w:rsid w:val="00252DCA"/>
    <w:rsid w:val="002605F6"/>
    <w:rsid w:val="0026242A"/>
    <w:rsid w:val="00267CE7"/>
    <w:rsid w:val="00271ECA"/>
    <w:rsid w:val="00276C30"/>
    <w:rsid w:val="00280340"/>
    <w:rsid w:val="002819FD"/>
    <w:rsid w:val="00284D99"/>
    <w:rsid w:val="0028520F"/>
    <w:rsid w:val="0028576E"/>
    <w:rsid w:val="00287551"/>
    <w:rsid w:val="00292589"/>
    <w:rsid w:val="00292821"/>
    <w:rsid w:val="00293942"/>
    <w:rsid w:val="00297D10"/>
    <w:rsid w:val="002A04D2"/>
    <w:rsid w:val="002A402D"/>
    <w:rsid w:val="002B049A"/>
    <w:rsid w:val="002B04C8"/>
    <w:rsid w:val="002B22C7"/>
    <w:rsid w:val="002C0E5D"/>
    <w:rsid w:val="002C40CB"/>
    <w:rsid w:val="002C7767"/>
    <w:rsid w:val="002D0F67"/>
    <w:rsid w:val="002D5B6A"/>
    <w:rsid w:val="002F3BEA"/>
    <w:rsid w:val="002F543B"/>
    <w:rsid w:val="002F6C86"/>
    <w:rsid w:val="003046C4"/>
    <w:rsid w:val="003051C9"/>
    <w:rsid w:val="00306F2E"/>
    <w:rsid w:val="00312787"/>
    <w:rsid w:val="003131A1"/>
    <w:rsid w:val="00314292"/>
    <w:rsid w:val="003155EB"/>
    <w:rsid w:val="00316ED5"/>
    <w:rsid w:val="00317F41"/>
    <w:rsid w:val="00322111"/>
    <w:rsid w:val="003222A8"/>
    <w:rsid w:val="00323901"/>
    <w:rsid w:val="003261DF"/>
    <w:rsid w:val="0034009F"/>
    <w:rsid w:val="00344E41"/>
    <w:rsid w:val="00351E05"/>
    <w:rsid w:val="00352A9F"/>
    <w:rsid w:val="003556F7"/>
    <w:rsid w:val="00366EFD"/>
    <w:rsid w:val="003729CE"/>
    <w:rsid w:val="003732FD"/>
    <w:rsid w:val="0037426B"/>
    <w:rsid w:val="00375A75"/>
    <w:rsid w:val="00386E7E"/>
    <w:rsid w:val="00393AC3"/>
    <w:rsid w:val="003A47C3"/>
    <w:rsid w:val="003A7444"/>
    <w:rsid w:val="003B24DE"/>
    <w:rsid w:val="003B391E"/>
    <w:rsid w:val="003B4F41"/>
    <w:rsid w:val="003C525D"/>
    <w:rsid w:val="003C714A"/>
    <w:rsid w:val="003D08A2"/>
    <w:rsid w:val="003D0D8E"/>
    <w:rsid w:val="003D3474"/>
    <w:rsid w:val="003D6368"/>
    <w:rsid w:val="003D73DB"/>
    <w:rsid w:val="003F6359"/>
    <w:rsid w:val="004065AC"/>
    <w:rsid w:val="004217BB"/>
    <w:rsid w:val="0042418C"/>
    <w:rsid w:val="00433BA0"/>
    <w:rsid w:val="00433CBC"/>
    <w:rsid w:val="00434641"/>
    <w:rsid w:val="00441314"/>
    <w:rsid w:val="0044298D"/>
    <w:rsid w:val="004447FE"/>
    <w:rsid w:val="004551D8"/>
    <w:rsid w:val="00455C98"/>
    <w:rsid w:val="00460037"/>
    <w:rsid w:val="004646FF"/>
    <w:rsid w:val="004665EF"/>
    <w:rsid w:val="00471FF8"/>
    <w:rsid w:val="00472AF2"/>
    <w:rsid w:val="004808B1"/>
    <w:rsid w:val="00483154"/>
    <w:rsid w:val="00483B1F"/>
    <w:rsid w:val="004852A4"/>
    <w:rsid w:val="00490661"/>
    <w:rsid w:val="00493585"/>
    <w:rsid w:val="004A0CD4"/>
    <w:rsid w:val="004A7272"/>
    <w:rsid w:val="004B058A"/>
    <w:rsid w:val="004B2280"/>
    <w:rsid w:val="004B76FB"/>
    <w:rsid w:val="004C0AAC"/>
    <w:rsid w:val="004D1251"/>
    <w:rsid w:val="004D139E"/>
    <w:rsid w:val="004D2D64"/>
    <w:rsid w:val="004D46F1"/>
    <w:rsid w:val="004D4ED1"/>
    <w:rsid w:val="004D5539"/>
    <w:rsid w:val="004D7593"/>
    <w:rsid w:val="004E0A51"/>
    <w:rsid w:val="004E0C4B"/>
    <w:rsid w:val="004F29B7"/>
    <w:rsid w:val="004F5773"/>
    <w:rsid w:val="00506305"/>
    <w:rsid w:val="00507CBD"/>
    <w:rsid w:val="00512F52"/>
    <w:rsid w:val="00514642"/>
    <w:rsid w:val="00514CC5"/>
    <w:rsid w:val="00515B3E"/>
    <w:rsid w:val="00523DB6"/>
    <w:rsid w:val="00524D99"/>
    <w:rsid w:val="005250C1"/>
    <w:rsid w:val="00525D38"/>
    <w:rsid w:val="00530135"/>
    <w:rsid w:val="005317AF"/>
    <w:rsid w:val="0053435B"/>
    <w:rsid w:val="00535627"/>
    <w:rsid w:val="005418F2"/>
    <w:rsid w:val="005501D6"/>
    <w:rsid w:val="00550A21"/>
    <w:rsid w:val="00551A1A"/>
    <w:rsid w:val="00551DAC"/>
    <w:rsid w:val="005573E3"/>
    <w:rsid w:val="00560B14"/>
    <w:rsid w:val="005610E9"/>
    <w:rsid w:val="005652BA"/>
    <w:rsid w:val="00565F06"/>
    <w:rsid w:val="0056611D"/>
    <w:rsid w:val="00582ADF"/>
    <w:rsid w:val="00587EAD"/>
    <w:rsid w:val="005916CB"/>
    <w:rsid w:val="005A152A"/>
    <w:rsid w:val="005A4FD8"/>
    <w:rsid w:val="005B0761"/>
    <w:rsid w:val="005B2D9B"/>
    <w:rsid w:val="005B77EF"/>
    <w:rsid w:val="005C3480"/>
    <w:rsid w:val="005D3FDC"/>
    <w:rsid w:val="005D4281"/>
    <w:rsid w:val="005F34E3"/>
    <w:rsid w:val="00600084"/>
    <w:rsid w:val="006009EC"/>
    <w:rsid w:val="00617EE6"/>
    <w:rsid w:val="00622F3A"/>
    <w:rsid w:val="00624F9E"/>
    <w:rsid w:val="006271F7"/>
    <w:rsid w:val="006330F0"/>
    <w:rsid w:val="00635CA4"/>
    <w:rsid w:val="00641C01"/>
    <w:rsid w:val="00642B00"/>
    <w:rsid w:val="006456C6"/>
    <w:rsid w:val="00646BDD"/>
    <w:rsid w:val="00656EDF"/>
    <w:rsid w:val="006649C8"/>
    <w:rsid w:val="00675D6A"/>
    <w:rsid w:val="00683148"/>
    <w:rsid w:val="00683E1D"/>
    <w:rsid w:val="00690417"/>
    <w:rsid w:val="0069696A"/>
    <w:rsid w:val="006972F7"/>
    <w:rsid w:val="006A1CF6"/>
    <w:rsid w:val="006A6C0A"/>
    <w:rsid w:val="006B23E0"/>
    <w:rsid w:val="006B2B66"/>
    <w:rsid w:val="006B57CA"/>
    <w:rsid w:val="006C2518"/>
    <w:rsid w:val="006D5378"/>
    <w:rsid w:val="006E22C3"/>
    <w:rsid w:val="006E5B73"/>
    <w:rsid w:val="006F39DF"/>
    <w:rsid w:val="006F5AF4"/>
    <w:rsid w:val="0070441A"/>
    <w:rsid w:val="0070741E"/>
    <w:rsid w:val="00712AF6"/>
    <w:rsid w:val="0071468B"/>
    <w:rsid w:val="00720324"/>
    <w:rsid w:val="00726F54"/>
    <w:rsid w:val="00730C0B"/>
    <w:rsid w:val="0073324D"/>
    <w:rsid w:val="007406C7"/>
    <w:rsid w:val="00747727"/>
    <w:rsid w:val="00747D16"/>
    <w:rsid w:val="007548DC"/>
    <w:rsid w:val="00754D5B"/>
    <w:rsid w:val="00760044"/>
    <w:rsid w:val="00760D59"/>
    <w:rsid w:val="007637A0"/>
    <w:rsid w:val="00767978"/>
    <w:rsid w:val="007819DD"/>
    <w:rsid w:val="00782C37"/>
    <w:rsid w:val="007A3934"/>
    <w:rsid w:val="007C6B1B"/>
    <w:rsid w:val="007D0C2B"/>
    <w:rsid w:val="007D184F"/>
    <w:rsid w:val="007D4EEB"/>
    <w:rsid w:val="007E37F7"/>
    <w:rsid w:val="007E5112"/>
    <w:rsid w:val="007F79B2"/>
    <w:rsid w:val="00807EEC"/>
    <w:rsid w:val="00810C58"/>
    <w:rsid w:val="00816CE4"/>
    <w:rsid w:val="00817FC3"/>
    <w:rsid w:val="00832C19"/>
    <w:rsid w:val="0085442E"/>
    <w:rsid w:val="00854DA8"/>
    <w:rsid w:val="00862D0C"/>
    <w:rsid w:val="00864B19"/>
    <w:rsid w:val="00872CF5"/>
    <w:rsid w:val="00887057"/>
    <w:rsid w:val="008951FC"/>
    <w:rsid w:val="008A30C8"/>
    <w:rsid w:val="008A659A"/>
    <w:rsid w:val="008C35E2"/>
    <w:rsid w:val="008C50DE"/>
    <w:rsid w:val="008C566B"/>
    <w:rsid w:val="008C6267"/>
    <w:rsid w:val="008D07C9"/>
    <w:rsid w:val="008D1C08"/>
    <w:rsid w:val="008D6763"/>
    <w:rsid w:val="008E6161"/>
    <w:rsid w:val="008E7820"/>
    <w:rsid w:val="008E7EFF"/>
    <w:rsid w:val="008F5D67"/>
    <w:rsid w:val="008F5FA4"/>
    <w:rsid w:val="008F6DDB"/>
    <w:rsid w:val="009004BB"/>
    <w:rsid w:val="009059A0"/>
    <w:rsid w:val="00922572"/>
    <w:rsid w:val="00936CC5"/>
    <w:rsid w:val="009427DF"/>
    <w:rsid w:val="00942A72"/>
    <w:rsid w:val="00943DFF"/>
    <w:rsid w:val="0094702B"/>
    <w:rsid w:val="00952F7E"/>
    <w:rsid w:val="009545D7"/>
    <w:rsid w:val="00954AA3"/>
    <w:rsid w:val="00954B6E"/>
    <w:rsid w:val="00966C19"/>
    <w:rsid w:val="00975665"/>
    <w:rsid w:val="0097706B"/>
    <w:rsid w:val="009A3FCF"/>
    <w:rsid w:val="009E374D"/>
    <w:rsid w:val="009E6D1F"/>
    <w:rsid w:val="009E7756"/>
    <w:rsid w:val="009F0267"/>
    <w:rsid w:val="009F5C05"/>
    <w:rsid w:val="009F5CE3"/>
    <w:rsid w:val="00A04C54"/>
    <w:rsid w:val="00A0698B"/>
    <w:rsid w:val="00A125C6"/>
    <w:rsid w:val="00A1722E"/>
    <w:rsid w:val="00A17A7F"/>
    <w:rsid w:val="00A17F08"/>
    <w:rsid w:val="00A205E4"/>
    <w:rsid w:val="00A21679"/>
    <w:rsid w:val="00A25591"/>
    <w:rsid w:val="00A25EA3"/>
    <w:rsid w:val="00A26021"/>
    <w:rsid w:val="00A27951"/>
    <w:rsid w:val="00A32A7B"/>
    <w:rsid w:val="00A36CC2"/>
    <w:rsid w:val="00A44E80"/>
    <w:rsid w:val="00A4526F"/>
    <w:rsid w:val="00A469DE"/>
    <w:rsid w:val="00A504E0"/>
    <w:rsid w:val="00A529EB"/>
    <w:rsid w:val="00A54776"/>
    <w:rsid w:val="00A5721E"/>
    <w:rsid w:val="00A5789D"/>
    <w:rsid w:val="00A62E3B"/>
    <w:rsid w:val="00A733D1"/>
    <w:rsid w:val="00A81284"/>
    <w:rsid w:val="00A82CA4"/>
    <w:rsid w:val="00A85CBA"/>
    <w:rsid w:val="00A94720"/>
    <w:rsid w:val="00A95FCF"/>
    <w:rsid w:val="00AA264A"/>
    <w:rsid w:val="00AA2E6E"/>
    <w:rsid w:val="00AB456B"/>
    <w:rsid w:val="00AB466F"/>
    <w:rsid w:val="00AB7AEC"/>
    <w:rsid w:val="00AD0266"/>
    <w:rsid w:val="00AD039F"/>
    <w:rsid w:val="00AD361B"/>
    <w:rsid w:val="00AD567A"/>
    <w:rsid w:val="00AE6E42"/>
    <w:rsid w:val="00AF2F32"/>
    <w:rsid w:val="00B01F97"/>
    <w:rsid w:val="00B03A35"/>
    <w:rsid w:val="00B1268D"/>
    <w:rsid w:val="00B156C9"/>
    <w:rsid w:val="00B157B3"/>
    <w:rsid w:val="00B27F51"/>
    <w:rsid w:val="00B3715B"/>
    <w:rsid w:val="00B55107"/>
    <w:rsid w:val="00B5685D"/>
    <w:rsid w:val="00B56F21"/>
    <w:rsid w:val="00B601BA"/>
    <w:rsid w:val="00B66271"/>
    <w:rsid w:val="00B75EDB"/>
    <w:rsid w:val="00B7638B"/>
    <w:rsid w:val="00B77143"/>
    <w:rsid w:val="00B80EE7"/>
    <w:rsid w:val="00B860DB"/>
    <w:rsid w:val="00B86EC9"/>
    <w:rsid w:val="00BA3E2B"/>
    <w:rsid w:val="00BA7C84"/>
    <w:rsid w:val="00BB2559"/>
    <w:rsid w:val="00BB28FF"/>
    <w:rsid w:val="00BB5C83"/>
    <w:rsid w:val="00BB674B"/>
    <w:rsid w:val="00BB68BD"/>
    <w:rsid w:val="00BC177D"/>
    <w:rsid w:val="00BF24D7"/>
    <w:rsid w:val="00BF25E3"/>
    <w:rsid w:val="00BF5C7B"/>
    <w:rsid w:val="00BF7493"/>
    <w:rsid w:val="00C1063E"/>
    <w:rsid w:val="00C11324"/>
    <w:rsid w:val="00C141B3"/>
    <w:rsid w:val="00C24C2A"/>
    <w:rsid w:val="00C3555B"/>
    <w:rsid w:val="00C42812"/>
    <w:rsid w:val="00C50C6F"/>
    <w:rsid w:val="00C5427E"/>
    <w:rsid w:val="00C56C8D"/>
    <w:rsid w:val="00C57C09"/>
    <w:rsid w:val="00C626B1"/>
    <w:rsid w:val="00C647A1"/>
    <w:rsid w:val="00C658A1"/>
    <w:rsid w:val="00C8686D"/>
    <w:rsid w:val="00C91B04"/>
    <w:rsid w:val="00C9431D"/>
    <w:rsid w:val="00C96C4F"/>
    <w:rsid w:val="00C97719"/>
    <w:rsid w:val="00CA3195"/>
    <w:rsid w:val="00CB0A83"/>
    <w:rsid w:val="00CB189F"/>
    <w:rsid w:val="00CB3B6A"/>
    <w:rsid w:val="00CB55B6"/>
    <w:rsid w:val="00CB5D73"/>
    <w:rsid w:val="00CC76A8"/>
    <w:rsid w:val="00CD15F2"/>
    <w:rsid w:val="00CD4FE2"/>
    <w:rsid w:val="00CE0366"/>
    <w:rsid w:val="00CE2C19"/>
    <w:rsid w:val="00CE41C2"/>
    <w:rsid w:val="00CE5572"/>
    <w:rsid w:val="00CE6021"/>
    <w:rsid w:val="00CF0313"/>
    <w:rsid w:val="00D001FC"/>
    <w:rsid w:val="00D07D96"/>
    <w:rsid w:val="00D11FB6"/>
    <w:rsid w:val="00D23353"/>
    <w:rsid w:val="00D25C9C"/>
    <w:rsid w:val="00D32A89"/>
    <w:rsid w:val="00D34130"/>
    <w:rsid w:val="00D36F2A"/>
    <w:rsid w:val="00D45AF8"/>
    <w:rsid w:val="00D45EA1"/>
    <w:rsid w:val="00D476E6"/>
    <w:rsid w:val="00D65BAB"/>
    <w:rsid w:val="00D66845"/>
    <w:rsid w:val="00D66B14"/>
    <w:rsid w:val="00D679B7"/>
    <w:rsid w:val="00D71DB0"/>
    <w:rsid w:val="00D8591E"/>
    <w:rsid w:val="00D86BFA"/>
    <w:rsid w:val="00D86E21"/>
    <w:rsid w:val="00D94C53"/>
    <w:rsid w:val="00D9671F"/>
    <w:rsid w:val="00DA2AC8"/>
    <w:rsid w:val="00DB5A58"/>
    <w:rsid w:val="00DD26B4"/>
    <w:rsid w:val="00DD6C4E"/>
    <w:rsid w:val="00DD7F12"/>
    <w:rsid w:val="00DE7E29"/>
    <w:rsid w:val="00DF1889"/>
    <w:rsid w:val="00DF2F62"/>
    <w:rsid w:val="00DF5068"/>
    <w:rsid w:val="00DF574F"/>
    <w:rsid w:val="00DF734F"/>
    <w:rsid w:val="00DF75FA"/>
    <w:rsid w:val="00E00797"/>
    <w:rsid w:val="00E06588"/>
    <w:rsid w:val="00E11DAC"/>
    <w:rsid w:val="00E147A2"/>
    <w:rsid w:val="00E16053"/>
    <w:rsid w:val="00E2476D"/>
    <w:rsid w:val="00E24A3B"/>
    <w:rsid w:val="00E373A6"/>
    <w:rsid w:val="00E41014"/>
    <w:rsid w:val="00E44431"/>
    <w:rsid w:val="00E46765"/>
    <w:rsid w:val="00E4743D"/>
    <w:rsid w:val="00E51C22"/>
    <w:rsid w:val="00E545BF"/>
    <w:rsid w:val="00E55176"/>
    <w:rsid w:val="00E624E6"/>
    <w:rsid w:val="00E6318E"/>
    <w:rsid w:val="00E65458"/>
    <w:rsid w:val="00E66357"/>
    <w:rsid w:val="00E707FF"/>
    <w:rsid w:val="00E752B7"/>
    <w:rsid w:val="00E872EB"/>
    <w:rsid w:val="00E91616"/>
    <w:rsid w:val="00EA5907"/>
    <w:rsid w:val="00EB1EB5"/>
    <w:rsid w:val="00EB5D93"/>
    <w:rsid w:val="00EC7EE6"/>
    <w:rsid w:val="00ED2598"/>
    <w:rsid w:val="00EE0608"/>
    <w:rsid w:val="00EE09A4"/>
    <w:rsid w:val="00EF5D47"/>
    <w:rsid w:val="00EF61F9"/>
    <w:rsid w:val="00F02589"/>
    <w:rsid w:val="00F043BA"/>
    <w:rsid w:val="00F1236F"/>
    <w:rsid w:val="00F162AF"/>
    <w:rsid w:val="00F17C51"/>
    <w:rsid w:val="00F2059A"/>
    <w:rsid w:val="00F23DFA"/>
    <w:rsid w:val="00F345FB"/>
    <w:rsid w:val="00F40D38"/>
    <w:rsid w:val="00F53A79"/>
    <w:rsid w:val="00F56AB3"/>
    <w:rsid w:val="00F576C7"/>
    <w:rsid w:val="00F60AAB"/>
    <w:rsid w:val="00F662A1"/>
    <w:rsid w:val="00F70A85"/>
    <w:rsid w:val="00F73157"/>
    <w:rsid w:val="00F74240"/>
    <w:rsid w:val="00F82580"/>
    <w:rsid w:val="00F834A2"/>
    <w:rsid w:val="00F83CF9"/>
    <w:rsid w:val="00F871AF"/>
    <w:rsid w:val="00F8764E"/>
    <w:rsid w:val="00F919F3"/>
    <w:rsid w:val="00F94E5A"/>
    <w:rsid w:val="00FA71E1"/>
    <w:rsid w:val="00FB1B9E"/>
    <w:rsid w:val="00FC3FD9"/>
    <w:rsid w:val="00FC4567"/>
    <w:rsid w:val="00FC5FC4"/>
    <w:rsid w:val="00FD0C6B"/>
    <w:rsid w:val="00FD3E3D"/>
    <w:rsid w:val="00FD4491"/>
    <w:rsid w:val="00FD75DC"/>
    <w:rsid w:val="00FE02E1"/>
    <w:rsid w:val="00FE0C7C"/>
    <w:rsid w:val="00FE5510"/>
    <w:rsid w:val="00FF35F9"/>
    <w:rsid w:val="00FF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5621"/>
  <w15:chartTrackingRefBased/>
  <w15:docId w15:val="{3F38D3EC-1073-4C9E-B517-2C3E903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3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0366"/>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F60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790A"/>
    <w:rPr>
      <w:color w:val="0563C1" w:themeColor="hyperlink"/>
      <w:u w:val="single"/>
    </w:rPr>
  </w:style>
  <w:style w:type="character" w:customStyle="1" w:styleId="ui-provider">
    <w:name w:val="ui-provider"/>
    <w:basedOn w:val="DefaultParagraphFont"/>
    <w:rsid w:val="00E44431"/>
  </w:style>
  <w:style w:type="character" w:customStyle="1" w:styleId="normaltextrun">
    <w:name w:val="normaltextrun"/>
    <w:basedOn w:val="DefaultParagraphFont"/>
    <w:rsid w:val="00316ED5"/>
  </w:style>
  <w:style w:type="character" w:customStyle="1" w:styleId="eop">
    <w:name w:val="eop"/>
    <w:basedOn w:val="DefaultParagraphFont"/>
    <w:rsid w:val="0048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755">
      <w:bodyDiv w:val="1"/>
      <w:marLeft w:val="0"/>
      <w:marRight w:val="0"/>
      <w:marTop w:val="0"/>
      <w:marBottom w:val="0"/>
      <w:divBdr>
        <w:top w:val="none" w:sz="0" w:space="0" w:color="auto"/>
        <w:left w:val="none" w:sz="0" w:space="0" w:color="auto"/>
        <w:bottom w:val="none" w:sz="0" w:space="0" w:color="auto"/>
        <w:right w:val="none" w:sz="0" w:space="0" w:color="auto"/>
      </w:divBdr>
    </w:div>
    <w:div w:id="457801719">
      <w:bodyDiv w:val="1"/>
      <w:marLeft w:val="0"/>
      <w:marRight w:val="0"/>
      <w:marTop w:val="0"/>
      <w:marBottom w:val="0"/>
      <w:divBdr>
        <w:top w:val="none" w:sz="0" w:space="0" w:color="auto"/>
        <w:left w:val="none" w:sz="0" w:space="0" w:color="auto"/>
        <w:bottom w:val="none" w:sz="0" w:space="0" w:color="auto"/>
        <w:right w:val="none" w:sz="0" w:space="0" w:color="auto"/>
      </w:divBdr>
      <w:divsChild>
        <w:div w:id="394741781">
          <w:marLeft w:val="547"/>
          <w:marRight w:val="0"/>
          <w:marTop w:val="0"/>
          <w:marBottom w:val="0"/>
          <w:divBdr>
            <w:top w:val="none" w:sz="0" w:space="0" w:color="auto"/>
            <w:left w:val="none" w:sz="0" w:space="0" w:color="auto"/>
            <w:bottom w:val="none" w:sz="0" w:space="0" w:color="auto"/>
            <w:right w:val="none" w:sz="0" w:space="0" w:color="auto"/>
          </w:divBdr>
        </w:div>
        <w:div w:id="687177219">
          <w:marLeft w:val="547"/>
          <w:marRight w:val="0"/>
          <w:marTop w:val="0"/>
          <w:marBottom w:val="0"/>
          <w:divBdr>
            <w:top w:val="none" w:sz="0" w:space="0" w:color="auto"/>
            <w:left w:val="none" w:sz="0" w:space="0" w:color="auto"/>
            <w:bottom w:val="none" w:sz="0" w:space="0" w:color="auto"/>
            <w:right w:val="none" w:sz="0" w:space="0" w:color="auto"/>
          </w:divBdr>
        </w:div>
        <w:div w:id="598493167">
          <w:marLeft w:val="547"/>
          <w:marRight w:val="0"/>
          <w:marTop w:val="0"/>
          <w:marBottom w:val="160"/>
          <w:divBdr>
            <w:top w:val="none" w:sz="0" w:space="0" w:color="auto"/>
            <w:left w:val="none" w:sz="0" w:space="0" w:color="auto"/>
            <w:bottom w:val="none" w:sz="0" w:space="0" w:color="auto"/>
            <w:right w:val="none" w:sz="0" w:space="0" w:color="auto"/>
          </w:divBdr>
        </w:div>
      </w:divsChild>
    </w:div>
    <w:div w:id="572665197">
      <w:bodyDiv w:val="1"/>
      <w:marLeft w:val="0"/>
      <w:marRight w:val="0"/>
      <w:marTop w:val="0"/>
      <w:marBottom w:val="0"/>
      <w:divBdr>
        <w:top w:val="none" w:sz="0" w:space="0" w:color="auto"/>
        <w:left w:val="none" w:sz="0" w:space="0" w:color="auto"/>
        <w:bottom w:val="none" w:sz="0" w:space="0" w:color="auto"/>
        <w:right w:val="none" w:sz="0" w:space="0" w:color="auto"/>
      </w:divBdr>
    </w:div>
    <w:div w:id="1582450054">
      <w:bodyDiv w:val="1"/>
      <w:marLeft w:val="0"/>
      <w:marRight w:val="0"/>
      <w:marTop w:val="0"/>
      <w:marBottom w:val="0"/>
      <w:divBdr>
        <w:top w:val="none" w:sz="0" w:space="0" w:color="auto"/>
        <w:left w:val="none" w:sz="0" w:space="0" w:color="auto"/>
        <w:bottom w:val="none" w:sz="0" w:space="0" w:color="auto"/>
        <w:right w:val="none" w:sz="0" w:space="0" w:color="auto"/>
      </w:divBdr>
    </w:div>
    <w:div w:id="1728528253">
      <w:bodyDiv w:val="1"/>
      <w:marLeft w:val="0"/>
      <w:marRight w:val="0"/>
      <w:marTop w:val="0"/>
      <w:marBottom w:val="0"/>
      <w:divBdr>
        <w:top w:val="none" w:sz="0" w:space="0" w:color="auto"/>
        <w:left w:val="none" w:sz="0" w:space="0" w:color="auto"/>
        <w:bottom w:val="none" w:sz="0" w:space="0" w:color="auto"/>
        <w:right w:val="none" w:sz="0" w:space="0" w:color="auto"/>
      </w:divBdr>
      <w:divsChild>
        <w:div w:id="1057585413">
          <w:marLeft w:val="547"/>
          <w:marRight w:val="0"/>
          <w:marTop w:val="0"/>
          <w:marBottom w:val="0"/>
          <w:divBdr>
            <w:top w:val="none" w:sz="0" w:space="0" w:color="auto"/>
            <w:left w:val="none" w:sz="0" w:space="0" w:color="auto"/>
            <w:bottom w:val="none" w:sz="0" w:space="0" w:color="auto"/>
            <w:right w:val="none" w:sz="0" w:space="0" w:color="auto"/>
          </w:divBdr>
        </w:div>
        <w:div w:id="1089351694">
          <w:marLeft w:val="547"/>
          <w:marRight w:val="0"/>
          <w:marTop w:val="0"/>
          <w:marBottom w:val="0"/>
          <w:divBdr>
            <w:top w:val="none" w:sz="0" w:space="0" w:color="auto"/>
            <w:left w:val="none" w:sz="0" w:space="0" w:color="auto"/>
            <w:bottom w:val="none" w:sz="0" w:space="0" w:color="auto"/>
            <w:right w:val="none" w:sz="0" w:space="0" w:color="auto"/>
          </w:divBdr>
        </w:div>
        <w:div w:id="124928169">
          <w:marLeft w:val="547"/>
          <w:marRight w:val="0"/>
          <w:marTop w:val="0"/>
          <w:marBottom w:val="160"/>
          <w:divBdr>
            <w:top w:val="none" w:sz="0" w:space="0" w:color="auto"/>
            <w:left w:val="none" w:sz="0" w:space="0" w:color="auto"/>
            <w:bottom w:val="none" w:sz="0" w:space="0" w:color="auto"/>
            <w:right w:val="none" w:sz="0" w:space="0" w:color="auto"/>
          </w:divBdr>
        </w:div>
      </w:divsChild>
    </w:div>
    <w:div w:id="1818376558">
      <w:bodyDiv w:val="1"/>
      <w:marLeft w:val="0"/>
      <w:marRight w:val="0"/>
      <w:marTop w:val="0"/>
      <w:marBottom w:val="0"/>
      <w:divBdr>
        <w:top w:val="none" w:sz="0" w:space="0" w:color="auto"/>
        <w:left w:val="none" w:sz="0" w:space="0" w:color="auto"/>
        <w:bottom w:val="none" w:sz="0" w:space="0" w:color="auto"/>
        <w:right w:val="none" w:sz="0" w:space="0" w:color="auto"/>
      </w:divBdr>
    </w:div>
    <w:div w:id="20358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Rowen, Anna - Associate Director of Diversity and Inclusion</cp:lastModifiedBy>
  <cp:revision>48</cp:revision>
  <dcterms:created xsi:type="dcterms:W3CDTF">2023-10-26T11:29:00Z</dcterms:created>
  <dcterms:modified xsi:type="dcterms:W3CDTF">2023-10-26T13:42:00Z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100ce-f04e-4b80-a326-08c9f28b8c4d_Enabled">
    <vt:lpwstr>true</vt:lpwstr>
  </property>
  <property fmtid="{D5CDD505-2E9C-101B-9397-08002B2CF9AE}" pid="3" name="MSIP_Label_cb4100ce-f04e-4b80-a326-08c9f28b8c4d_SetDate">
    <vt:lpwstr>2023-05-17T13:01:59Z</vt:lpwstr>
  </property>
  <property fmtid="{D5CDD505-2E9C-101B-9397-08002B2CF9AE}" pid="4" name="MSIP_Label_cb4100ce-f04e-4b80-a326-08c9f28b8c4d_Method">
    <vt:lpwstr>Standard</vt:lpwstr>
  </property>
  <property fmtid="{D5CDD505-2E9C-101B-9397-08002B2CF9AE}" pid="5" name="MSIP_Label_cb4100ce-f04e-4b80-a326-08c9f28b8c4d_Name">
    <vt:lpwstr>Trustwide - default label</vt:lpwstr>
  </property>
  <property fmtid="{D5CDD505-2E9C-101B-9397-08002B2CF9AE}" pid="6" name="MSIP_Label_cb4100ce-f04e-4b80-a326-08c9f28b8c4d_SiteId">
    <vt:lpwstr>41321cc1-ecb9-467c-b0d5-854644d94e3b</vt:lpwstr>
  </property>
  <property fmtid="{D5CDD505-2E9C-101B-9397-08002B2CF9AE}" pid="7" name="MSIP_Label_cb4100ce-f04e-4b80-a326-08c9f28b8c4d_ActionId">
    <vt:lpwstr>4dceb3ba-0876-4020-9f2c-6f076a6717a2</vt:lpwstr>
  </property>
  <property fmtid="{D5CDD505-2E9C-101B-9397-08002B2CF9AE}" pid="8" name="MSIP_Label_cb4100ce-f04e-4b80-a326-08c9f28b8c4d_ContentBits">
    <vt:lpwstr>0</vt:lpwstr>
  </property>
</Properties>
</file>